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10d EStG — Verlustabzug</w:t>
      </w:r>
    </w:p>
    <w:p>
      <w:r>
        <w:rPr>
          <w:color w:val="555555"/>
          <w:sz w:val="18"/>
        </w:rPr>
        <w:t xml:space="preserve">Einkommensteuergesetz</w:t>
      </w:r>
    </w:p>
    <w:p>
      <w:r>
        <w:rPr>
          <w:color w:val="555555"/>
          <w:sz w:val="18"/>
        </w:rPr>
        <w:t xml:space="preserve">Stand: 09.04.2024 (konsolidierte Textfassung, kein amtliches Inkrafttretensdatum)</w:t>
      </w:r>
    </w:p>
    <w:p>
      <w:r>
        <w:t xml:space="preserve">(1) 1Negative Einkünfte, die bei der Ermittlung des Gesamtbetrags der Einkünfte nicht ausgeglichen werden, sind bis zu einem Betrag von 1 000 000 Euro, bei Ehegatten, die nach den §§ 26, 26b zusammenveranlagt werden, bis zu einem Betrag von 2 000 000 Euro vom Gesamtbetrag der Einkünfte des unmittelbar vorangegangenen Veranlagungszeitraums vorrangig vor Sonderausgaben, außergewöhnlichen Belastungen und sonstigen Abzugsbeträgen abzuziehen (Verlustrücktrag). 2Soweit ein Ausgleich der negativen Einkünfte nach Satz 1 nicht möglich ist, sind diese vom Gesamtbetrag der Einkünfte des zweiten dem Veranlagungszeitraum vorangegangenen Veranlagungszeitraums vorrangig vor Sonderausgaben, außergewöhnlichen Belastungen und sonstigen Abzugsbeträgen abzuziehen. 3Dabei wird der Gesamtbetrag der Einkünfte des unmittelbar vorangegangenen Veranlagungszeitraums und des zweiten dem Veranlagungszeitraum vorangegangenen Veranlagungszeitraums um die Begünstigungsbeträge nach § 34a Absatz 3 Satz 1 gemindert. 4Ist für den unmittelbar vorangegangenen Veranlagungszeitraum oder den zweiten dem Veranlagungszeitraum vorangegangenen Veranlagungszeitraum bereits ein Steuerbescheid erlassen worden, so ist er insoweit zu ändern, als der Verlustrücktrag zu gewähren oder zu berichtigen ist. 5Das gilt auch dann, wenn der Steuerbescheid unanfechtbar geworden ist; die Festsetzungsfrist endet insoweit nicht, bevor die Festsetzungsfrist für den Veranlagungszeitraum abgelaufen ist, in dem die negativen Einkünfte nicht ausgeglichen werden. 6Auf Antrag des Steuerpflichtigen ist von der Anwendung des Verlustrücktrags nach den Sätzen 1 und 2 insgesamt abzusehen.</w:t>
      </w:r>
    </w:p>
    <w:p>
      <w:r>
        <w:t xml:space="preserve">(2) 1Nicht ausgeglichene negative Einkünfte, die nicht nach Absatz 1 abgezogen worden sind, sind in den folgenden Veranlagungszeiträumen bis zu einem Gesamtbetrag der Einkünfte von 1 Million Euro unbeschränkt, darüber hinaus bis zu 70 Prozent des 1 Million Euro übersteigenden Gesamtbetrags der Einkünfte vorrangig vor Sonderausgaben, außergewöhnlichen Belastungen und sonstigen Abzugsbeträgen abzuziehen (Verlustvortrag). 2Bei Ehegatten, die nach den §§ 26, 26b zusammenveranlagt werden, tritt an die Stelle des Betrags von 1 Million Euro ein Betrag von 2 Millionen Euro. 3Der Abzug ist nur insoweit zulässig, als die Verluste nicht nach Absatz 1 abgezogen worden sind und in den vorangegangenen Veranlagungszeiträumen nicht nach Satz 1 und 2 abgezogen werden konnten.</w:t>
      </w:r>
    </w:p>
    <w:p>
      <w:r>
        <w:t xml:space="preserve">(3) (weggefallen)</w:t>
      </w:r>
    </w:p>
    <w:p>
      <w:r>
        <w:t xml:space="preserve">(4) 1Der am Schluss eines Veranlagungszeitraums verbleibende Verlustvortrag ist gesondert festzustellen. 2Verbleibender Verlustvortrag sind die bei der Ermittlung des Gesamtbetrags der Einkünfte nicht ausgeglichenen negativen Einkünfte, vermindert um die nach Absatz 1 abgezogenen und die nach Absatz 2 abziehbaren Beträge und vermehrt um den auf den Schluss des vorangegangenen Veranlagungszeitraums festgestellten verbleibenden Verlustvortrag. 3Zuständig für die Feststellung ist das für die Besteuerung zuständige Finanzamt. 4Bei der Feststellung des verbleibenden Verlustvortrags sind die Besteuerungsgrundlagen so zu berücksichtigen, wie sie den Steuerfestsetzungen des Veranlagungszeitraums, auf dessen Schluss der verbleibende Verlustvortrag festgestellt wird, und des Veranlagungszeitraums, in dem ein Verlustrücktrag vorgenommen werden kann, zu Grunde gelegt worden sind; § 171 Absatz 10, § 175 Absatz 1 Satz 1 Nummer 1 und § 351 Absatz 2 der Abgabenordnung sowie § 42 der Finanzgerichtsordnung gelten entsprechend. 5Die Besteuerungsgrundlagen dürfen bei der Feststellung nur insoweit abweichend von Satz 4 berücksichtigt werden, wie die Aufhebung, Änderung oder Berichtigung der Steuerbescheide ausschließlich mangels Auswirkung auf die Höhe der festzusetzenden Steuer unterbleibt. 6Die Feststellungsfrist endet nicht, bevor die Festsetzungsfrist für den Veranlagungszeitraum abgelaufen ist, auf dessen Schluss der verbleibende Verlustvortrag gesondert festzustellen ist; § 181 Absatz 5 der Abgabenordnung ist nur anzuwenden, wenn die zuständige Finanzbehörde die Feststellung des Verlustvortrags pflichtwidrig unterlassen hat.</w:t>
      </w:r>
    </w:p>
    <w:p>
      <w:r>
        <w:rPr>
          <w:color w:val="555555"/>
          <w:sz w:val="17"/>
        </w:rPr>
        <w:t xml:space="preserve">Zitiervorschlag: § 10d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