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EStG — Festsetzung und Auszahlung der Mobilitätsprämie</w:t>
      </w:r>
    </w:p>
    <w:p>
      <w:r>
        <w:rPr>
          <w:color w:val="555555"/>
          <w:sz w:val="18"/>
        </w:rPr>
        <w:t xml:space="preserve">Einkommensteuergesetz</w:t>
      </w:r>
    </w:p>
    <w:p>
      <w:r>
        <w:rPr>
          <w:color w:val="555555"/>
          <w:sz w:val="18"/>
        </w:rPr>
        <w:t xml:space="preserve">Stand: 06.01.2021 (konsolidierte Textfassung, kein amtliches Inkrafttretensdatum)</w:t>
      </w:r>
    </w:p>
    <w:p>
      <w:r>
        <w:t xml:space="preserve">(1) 1Die Mobilitätsprämie ist nach Ablauf des Kalenderjahres im Rahmen einer Einkommensteuerveranlagung festzusetzen. 2Eine Festsetzung erfolgt nur, wenn die Mobilitätsprämie mindestens 10 Euro beträgt. 3Die festgesetzte Mobilitätsprämie mindert die festgesetzte Einkommensteuer im Wege der Anrechnung. 4Sie gilt insoweit als Steuervergütung. 5Die Auszahlung erfolgt aus den Einnahmen an Einkommensteuer.</w:t>
      </w:r>
    </w:p>
    <w:p>
      <w:r>
        <w:t xml:space="preserve">(2) 1Besteht das Einkommen ganz oder teilweise aus Einkünften aus nichtselbständiger Arbeit, die dem Steuerabzug unterlegen haben, gilt der Antrag auf Mobilitätsprämie zugleich als ein Antrag auf Einkommensteuerveranlagung. 2Besteht nach § 46 keine Pflicht zur Durchführung einer Veranlagung und wird keine Veranlagung, insbesondere zur Anrechnung von Lohnsteuer auf die Einkommensteuer nach § 46 Absatz 2 Nummer 8 beantragt, ist für die Festsetzung der Mobilitätsprämie die im Rahmen der Einkommensteuerveranlagung festgesetzte Einkommensteuer, die sich auf Grund des Antrags auf Mobilitätsprämie ergibt, mit Null Euro anzusetzen. 3Auch in den Fällen des § 25 gilt, ungeachtet des § 56 Satz 1 der Einkommensteuer-Durchführungsverordnung, der Antrag auf Mobilitätsprämie zugleich als Abgabe einer Einkommensteuererklärung.</w:t>
      </w:r>
    </w:p>
    <w:p>
      <w:r>
        <w:rPr>
          <w:color w:val="555555"/>
          <w:sz w:val="17"/>
        </w:rPr>
        <w:t xml:space="preserve">Zitiervorschlag: § 105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