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EStG — Antrag auf die Mobilitätsprämie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Mobilitätsprämie wird auf Antrag gewährt.</w:t>
      </w:r>
    </w:p>
    <w:p>
      <w:r>
        <w:t xml:space="preserve">(2) 1Der Anspruchsberechtigte hat den Antrag auf die Mobilitätsprämie bis zum Ablauf des vierten Kalenderjahres, das auf das Kalenderjahr folgt, in dem nach § 103 die Mobilitätsprämie entsteht, zu stellen. 2Der Antrag ist nach amtlich vorgeschriebenem Vordruck bei dem Finanzamt zu stellen, das für die Besteuerung des Anspruchsberechtigten nach dem Einkommen zuständig ist.</w:t>
      </w:r>
    </w:p>
    <w:p>
      <w:r>
        <w:rPr>
          <w:color w:val="555555"/>
          <w:sz w:val="17"/>
        </w:rPr>
        <w:t xml:space="preserve">Zitiervorschlag: § 104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