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EStG — Förderbetrag zur betrieblichen Altersversorgung</w:t>
      </w:r>
    </w:p>
    <w:p>
      <w:r>
        <w:rPr>
          <w:color w:val="555555"/>
          <w:sz w:val="18"/>
        </w:rPr>
        <w:t xml:space="preserve">Einkommensteuergesetz</w:t>
      </w:r>
    </w:p>
    <w:p>
      <w:r>
        <w:rPr>
          <w:color w:val="555555"/>
          <w:sz w:val="18"/>
        </w:rPr>
        <w:t xml:space="preserve">Stand: 19.08.2020 (konsolidierte Textfassung, kein amtliches Inkrafttretensdatum)</w:t>
      </w:r>
    </w:p>
    <w:p>
      <w:r>
        <w:t xml:space="preserve">(1) 1Arbeitgeber im Sinne des § 38 Absatz 1 dürfen vom Gesamtbetrag der einzubehaltenden Lohnsteuer für jeden Arbeitnehmer mit einem ersten Dienstverhältnis einen Teilbetrag des Arbeitgeberbeitrags zur kapitalgedeckten betrieblichen Altersversorgung (Förderbetrag) entnehmen und bei der nächsten Lohnsteuer-Anmeldung gesondert absetzen. 2Übersteigt der insgesamt zu gewährende Förderbetrag den Betrag, der insgesamt an Lohnsteuer abzuführen ist, so wird der übersteigende Betrag dem Arbeitgeber auf Antrag von dem Finanzamt, an das die Lohnsteuer abzuführen ist, aus den Einnahmen der Lohnsteuer ersetzt.</w:t>
      </w:r>
    </w:p>
    <w:p>
      <w:r>
        <w:t xml:space="preserve">(2) 1Der Förderbetrag beträgt im Kalenderjahr 30 Prozent des zusätzlichen Arbeitgeberbeitrags nach Absatz 3, höchstens 288 Euro. 2In Fällen, in denen der Arbeitgeber bereits im Jahr 2016 einen zusätzlichen Arbeitgeberbeitrag an einen Pensionsfonds, eine Pensionskasse oder für eine Direktversicherung geleistet hat, ist der jeweilige Förderbetrag auf den Betrag beschränkt, den der Arbeitgeber darüber hinaus leistet.</w:t>
      </w:r>
    </w:p>
    <w:p>
      <w:r>
        <w:t xml:space="preserve">(3) Voraussetzung für die Inanspruchnahme des Förderbetrags nach den Absätzen 1 und 2 ist, dass</w:t>
      </w:r>
    </w:p>
    <w:p>
      <w:pPr>
        <w:ind w:left="420"/>
      </w:pPr>
      <w:r>
        <w:t xml:space="preserve">1. der Arbeitslohn des Arbeitnehmers im Lohnzahlungszeitraum, für den der Förderbetrag geltend gemacht wird, im Inland dem Lohnsteuerabzug unterliegt;</w:t>
      </w:r>
    </w:p>
    <w:p>
      <w:pPr>
        <w:ind w:left="420"/>
      </w:pPr>
      <w:r>
        <w:t xml:space="preserve">2. der Arbeitgeber für den Arbeitnehmer zusätzlich zum ohnehin geschuldeten Arbeitslohn im Kalenderjahr mindestens einen Betrag in Höhe von 240 Euro an einen Pensionsfonds, eine Pensionskasse oder für eine Direktversicherung zahlt;</w:t>
      </w:r>
    </w:p>
    <w:p>
      <w:pPr>
        <w:ind w:left="420"/>
      </w:pPr>
      <w:r>
        <w:t xml:space="preserve">3. im Zeitpunkt der Beitragsleistung der laufende Arbeitslohn (§ 39b Absatz 2 Satz 1 und 2), der pauschal besteuerte Arbeitslohn (§ 40a Absatz 1 und 3) oder das pauschal besteuerte Arbeitsentgelt (§ 40a Absatz 2 und 2a) nicht mehr beträgt als</w:t>
      </w:r>
    </w:p>
    <w:p>
      <w:pPr>
        <w:ind w:left="780"/>
      </w:pPr>
      <w:r>
        <w:t xml:space="preserve">a) 85,84 Euro bei einem täglichen Lohnzahlungszeitraum,</w:t>
      </w:r>
    </w:p>
    <w:p>
      <w:pPr>
        <w:ind w:left="780"/>
      </w:pPr>
      <w:r>
        <w:t xml:space="preserve">b) 600,84 Euro bei einem wöchentlichen Lohnzahlungszeitraum,</w:t>
      </w:r>
    </w:p>
    <w:p>
      <w:pPr>
        <w:ind w:left="780"/>
      </w:pPr>
      <w:r>
        <w:t xml:space="preserve">c) 2 575 Euro bei einem monatlichen Lohnzahlungszeitraum oder</w:t>
      </w:r>
    </w:p>
    <w:p>
      <w:pPr>
        <w:ind w:left="780"/>
      </w:pPr>
      <w:r>
        <w:t xml:space="preserve">d) 30 900 Euro bei einem jährlichen Lohnzahlungszeitraum;</w:t>
      </w:r>
    </w:p>
    <w:p>
      <w:pPr>
        <w:ind w:left="420"/>
      </w:pPr>
      <w:r>
        <w:t xml:space="preserve">4. eine Auszahlung der zugesagten Alters-, Invaliditäts- oder Hinterbliebenenversorgungsleistungen entsprechend § 82 Absatz 2 Satz 2 vorgesehen ist;</w:t>
      </w:r>
    </w:p>
    <w:p>
      <w:pPr>
        <w:ind w:left="420"/>
      </w:pPr>
      <w:r>
        <w:t xml:space="preserve">5. sichergestellt ist, dass von den Beiträgen jeweils derselbe prozentuale Anteil zur Deckung der Vertriebskosten herangezogen wird; der Prozentsatz kann angepasst werden, wenn die Kalkulationsgrundlagen geändert werden, darf die ursprüngliche Höhe aber nicht überschreiten.</w:t>
      </w:r>
    </w:p>
    <w:p>
      <w:r>
        <w:t xml:space="preserve">(4) 1Für die Inanspruchnahme des Förderbetrags sind die Verhältnisse im Zeitpunkt der Beitragsleistung maßgeblich; spätere Änderungen der Verhältnisse sind unbeachtlich. 2Abweichend davon sind die für den Arbeitnehmer nach Absatz 1 geltend gemachten Förderbeträge zurückzugewähren, wenn eine Anwartschaft auf Leistungen aus einer nach Absatz 1 geförderten betrieblichen Altersversorgung später verfällt und sich daraus eine Rückzahlung an den Arbeitgeber ergibt. 3Der Förderbetrag ist nur zurückzugewähren, soweit er auf den Rückzahlungsbetrag entfällt. 4Der Förderbetrag ist in der Lohnsteuer-Anmeldung für den Lohnzahlungszeitraum, in dem die Rückzahlung zufließt, der an das Betriebsstättenfinanzamt abzuführenden Lohnsteuer hinzuzurechnen.</w:t>
      </w:r>
    </w:p>
    <w:p>
      <w:r>
        <w:t xml:space="preserve">(5) Für den Förderbetrag gelten entsprechend:</w:t>
      </w:r>
    </w:p>
    <w:p>
      <w:pPr>
        <w:ind w:left="420"/>
      </w:pPr>
      <w:r>
        <w:t xml:space="preserve">1. die §§ 41, 41a, 42e, 42f und 42g,</w:t>
      </w:r>
    </w:p>
    <w:p>
      <w:pPr>
        <w:ind w:left="420"/>
      </w:pPr>
      <w:r>
        <w:t xml:space="preserve">2. die für Steuervergütungen geltenden Vorschriften der Abgabenordnung mit Ausnahme des § 163 der Abgabenordnung und</w:t>
      </w:r>
    </w:p>
    <w:p>
      <w:pPr>
        <w:ind w:left="420"/>
      </w:pPr>
      <w:r>
        <w:t xml:space="preserve">3. die §§ 195 bis 203 der Abgabenordnung, die Strafvorschriften des § 370 Absatz 1 bis 4, der §§ 371, 375 Absatz 1 und des § 376, die Bußgeldvorschriften der §§ 378, 379 Absatz 1 und 4 und der §§ 383 und 384 der Abgabenordnung, die §§ 385 bis 408 für das Strafverfahren und die §§ 409 bis 412 der Abgabenordnung für das Bußgeldverfahren.</w:t>
      </w:r>
    </w:p>
    <w:p>
      <w:r>
        <w:t xml:space="preserve">(6) 1Der Arbeitgeberbeitrag im Sinne des Absatzes 3 Nummer 2 ist steuerfrei, soweit er im Kalenderjahr 960 Euro nicht übersteigt. 2Die Steuerfreistellung des § 3 Nummer 63 bleibt hiervon unberührt.</w:t>
      </w:r>
    </w:p>
    <w:p>
      <w:r>
        <w:rPr>
          <w:color w:val="555555"/>
          <w:sz w:val="17"/>
        </w:rPr>
        <w:t xml:space="preserve">Zitiervorschlag: § 100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