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EStFreigG — Inkrafttreten</w:t>
      </w:r>
    </w:p>
    <w:p>
      <w:r>
        <w:rPr>
          <w:color w:val="555555"/>
          <w:sz w:val="18"/>
        </w:rPr>
        <w:t xml:space="preserve">Gesetz über die Freigabe der stillgelegten Mittel aus dem Zuschlag zur Einkommensteuer und zur Körperschaftsteuer sowie über die Aufhebung der Stillegungspflicht für künftig aufkommende Beträge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4 EStFreigG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https://recht.nulegal.eu/gesetze/EStFreigG/4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