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9a EStDV 1955 — Anschaffung, Herstellung</w:t>
      </w:r>
    </w:p>
    <w:p>
      <w:r>
        <w:rPr>
          <w:color w:val="555555"/>
          <w:sz w:val="18"/>
        </w:rPr>
        <w:t xml:space="preserve">Einkommensteuer-Durchführungsverordnung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Jahr der Anschaffung ist das Jahr der Lieferung, Jahr der Herstellung ist das Jahr der Fertigstellung.</w:t>
      </w:r>
    </w:p>
    <w:p>
      <w:r>
        <w:rPr>
          <w:color w:val="555555"/>
          <w:sz w:val="17"/>
        </w:rPr>
        <w:t xml:space="preserve">Zitiervorschlag: § 9a EStDV 1955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https://recht.nulegal.eu/gesetze/EStDV%201955/9a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