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8b EStDV 1955 — Wirtschaftsjahr</w:t>
      </w:r>
    </w:p>
    <w:p>
      <w:r>
        <w:rPr>
          <w:color w:val="555555"/>
          <w:sz w:val="18"/>
        </w:rPr>
        <w:t xml:space="preserve">Einkommensteuer-Durchführungsverordnung</w:t>
      </w:r>
    </w:p>
    <w:p>
      <w:r>
        <w:rPr>
          <w:color w:val="555555"/>
          <w:sz w:val="18"/>
        </w:rPr>
        <w:t xml:space="preserve">Stand: 10.06.2019 (konsolidierte Textfassung, kein amtliches Inkrafttretensdatum)</w:t>
      </w:r>
    </w:p>
    <w:p>
      <w:r>
        <w:t xml:space="preserve">1Das Wirtschaftsjahr umfasst einen Zeitraum von zwölf Monaten. 2Es darf einen Zeitraum von weniger als zwölf Monaten umfassen, wenn</w:t>
      </w:r>
    </w:p>
    <w:p>
      <w:pPr>
        <w:ind w:left="420"/>
      </w:pPr>
      <w:r>
        <w:t xml:space="preserve">1. ein Betrieb eröffnet, erworben, aufgegeben oder veräußert wird oder</w:t>
      </w:r>
    </w:p>
    <w:p>
      <w:pPr>
        <w:ind w:left="420"/>
      </w:pPr>
      <w:r>
        <w:t xml:space="preserve">2. ein Steuerpflichtiger von regelmäßigen Abschlüssen auf einen bestimmten Tag zu regelmäßigen Abschlüssen auf einen anderen bestimmten Tag übergeht. 2Bei Umstellung eines Wirtschaftsjahrs, das mit dem Kalenderjahr übereinstimmt, auf ein vom Kalenderjahr abweichendes Wirtschaftsjahr und bei Umstellung eines vom Kalenderjahr abweichenden Wirtschaftsjahrs auf ein anderes vom Kalenderjahr abweichendes Wirtschaftsjahr gilt dies nur, wenn die Umstellung im Einvernehmen mit dem Finanzamt vorgenommen wird.</w:t>
      </w:r>
    </w:p>
    <w:p>
      <w:r>
        <w:rPr>
          <w:color w:val="555555"/>
          <w:sz w:val="17"/>
        </w:rPr>
        <w:t xml:space="preserve">Zitiervorschlag: § 8b EStDV 1955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https://recht.nulegal.eu/gesetze/EStDV%201955/8b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