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82b EStDV 1955 — Behandlung größeren Erhaltungsaufwands bei Wohngebäuden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1Der Steuerpflichtige kann größere Aufwendungen für die Erhaltung von Gebäuden, die im Zeitpunkt der Leistung des Erhaltungsaufwands nicht zu einem Betriebsvermögen gehören und überwiegend Wohnzwecken dienen, abweichend von § 11 Abs. 2 des Gesetzes auf zwei bis fünf Jahre gleichmäßig verteilen. 2Ein Gebäude dient überwiegend Wohnzwecken, wenn die Grundfläche der Wohnzwecken dienenden Räume des Gebäudes mehr als die Hälfte der gesamten Nutzfläche beträgt. 3Zum Gebäude gehörende Garagen sind ohne Rücksicht auf ihre tatsächliche Nutzung als Wohnzwecken dienend zu behandeln, soweit in ihnen nicht mehr als ein Personenkraftwagen für jede in dem Gebäude befindliche Wohnung untergestellt werden kann. 4Räume für die Unterstellung weiterer Kraftwagen sind stets als nicht Wohnzwecken dienend zu behandeln.</w:t>
      </w:r>
    </w:p>
    <w:p>
      <w:r>
        <w:t xml:space="preserve">(2) 1Wird das Gebäude während des Verteilungszeitraums veräußert, ist der noch nicht berücksichtigte Teil des Erhaltungsaufwands im Jahr der Veräußerung als Werbungskosten abzusetzen. 2Das Gleiche gilt, wenn ein Gebäude in ein Betriebsvermögen eingebracht oder nicht mehr zur Einkunftserzielung genutzt wird.</w:t>
      </w:r>
    </w:p>
    <w:p>
      <w:r>
        <w:t xml:space="preserve">(3) Steht das Gebäude im Eigentum mehrerer Personen, so ist der in Absatz 1 bezeichnete Erhaltungsaufwand von allen Eigentümern auf den gleichen Zeitraum zu verteilen.</w:t>
      </w:r>
    </w:p>
    <w:p>
      <w:r>
        <w:rPr>
          <w:color w:val="555555"/>
          <w:sz w:val="17"/>
        </w:rPr>
        <w:t xml:space="preserve">Zitiervorschlag: § 82b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https://recht.nulegal.eu/gesetze/EStDV%201955/82b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