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73e EStDV 1955 — Einbehaltung, Abführung und Anmeldung der Steuer von Vergütungen im Sinne des § 50a Abs. 1 und 7 des Gesetzes (§ 50a Abs. 5 des Gesetzes)</w:t>
      </w:r>
    </w:p>
    <w:p>
      <w:r>
        <w:rPr>
          <w:color w:val="555555"/>
          <w:sz w:val="18"/>
        </w:rPr>
        <w:t xml:space="preserve">Einkommensteuer-Durchführungsverordnung</w:t>
      </w:r>
    </w:p>
    <w:p>
      <w:r>
        <w:rPr>
          <w:color w:val="555555"/>
          <w:sz w:val="18"/>
        </w:rPr>
        <w:t xml:space="preserve">Stand: 31.12.2025 (konsolidierte Textfassung, kein amtliches Inkrafttretensdatum)</w:t>
      </w:r>
    </w:p>
    <w:p>
      <w:r>
        <w:t xml:space="preserve">1Der Schuldner hat die innerhalb eines Kalendervierteljahrs einbehaltene Steuer von Vergütungen im Sinne des § 50a Absatz 1 des Gesetzes unter der Bezeichnung „Steuerabzug von Vergütungen im Sinne des § 50a Absatz 1 des Einkommensteuergesetzes“ jeweils bis zum zehnten des dem Kalendervierteljahr folgenden Monats an das Bundeszentralamt für Steuern abzuführen. 2Bis zum gleichen Zeitpunkt hat der Schuldner dem Bundeszentralamt für Steuern eine Steueranmeldung über den Gläubiger, die Höhe der Vergütungen im Sinne des § 50a Absatz 1 des Gesetzes, die Höhe und Art der von der Bemessungsgrundlage des Steuerabzugs abgezogenen Betriebsausgaben oder Werbungskosten und die Höhe des Steuerabzugs zu übersenden. 3Satz 2 gilt entsprechend, wenn ein Steuerabzug auf Grund des § 50a Absatz 2 Satz 3 oder Absatz 4 Satz 1 des Gesetzes nicht vorzunehmen ist oder auf Grund des § 50c Absatz 2 des Gesetzes nicht oder nicht in voller Höhe vorzunehmen ist. 4Die Steueranmeldung ist nach amtlich vorgeschriebenem Datensatz durch Datenfernübertragung zu übermitteln. 5Auf Antrag kann das Bundeszentralamt für Steuern zur Vermeidung unbilliger Härten auf eine elektronische Übermittlung verzichten; in diesem Fall ist die Steueranmeldung vom Schuldner oder von einem zu seiner Vertretung Berechtigten zu unterschreiben. 6Ist es zweifelhaft, ob der Gläubiger beschränkt oder unbeschränkt steuerpflichtig ist, so darf der Schuldner die Einbehaltung der Steuer nur dann unterlassen, wenn der Gläubiger durch eine Bescheinigung des nach den abgabenrechtlichen Vorschriften für die Besteuerung seines Einkommens zuständigen Finanzamts nachweist, dass er unbeschränkt steuerpflichtig ist. 7Die Sätze 1, 2, 4 und 5 gelten entsprechend für die Steuer nach § 50a Absatz 7 des Gesetzes mit der Maßgabe, dass</w:t>
      </w:r>
    </w:p>
    <w:p>
      <w:pPr>
        <w:ind w:left="420"/>
      </w:pPr>
      <w:r>
        <w:t xml:space="preserve">1. die Steuer an das Finanzamt abzuführen und bei dem Finanzamt anzumelden ist, das den Steuerabzug angeordnet hat,</w:t>
      </w:r>
    </w:p>
    <w:p>
      <w:pPr>
        <w:ind w:left="420"/>
      </w:pPr>
      <w:r>
        <w:t xml:space="preserve">2. bei entsprechender Anordnung die innerhalb eines Monats einbehaltene Steuer jeweils bis zum zehnten des Folgemonats anzumelden und abzuführen ist und</w:t>
      </w:r>
    </w:p>
    <w:p>
      <w:pPr>
        <w:ind w:left="420"/>
      </w:pPr>
      <w:r>
        <w:t xml:space="preserve">3. der Schuldner bei Anordnung des Steuerabzugs für Einkünfte im Sinne des § 49 Absatz 1 Nummer 7 und 10 des Einkommensteuergesetzes berechtigt ist, ohne die Angaben im Sinne des Satzes 2 die Höhe der Steuerabzüge für mehrere Gläubiger in einer Summe anzumelden (Sammelanmeldung).</w:t>
      </w:r>
    </w:p>
    <w:p>
      <w:r>
        <w:rPr>
          <w:color w:val="555555"/>
          <w:sz w:val="17"/>
        </w:rPr>
        <w:t xml:space="preserve">Zitiervorschlag: § 73e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https://recht.nulegal.eu/gesetze/EStDV%201955/73e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