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73c EStDV 1955 — Zeitpunkt des Zufließens im Sinne des § 50a Abs. 5 Satz 1 des Gesetzes</w:t>
      </w:r>
    </w:p>
    <w:p>
      <w:r>
        <w:rPr>
          <w:color w:val="555555"/>
          <w:sz w:val="18"/>
        </w:rPr>
        <w:t xml:space="preserve">Einkommensteuer-Durchführungsverordnung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Vergütungen im Sinne des § 50a Abs. 1 des Gesetzes fließen dem Gläubiger zu</w:t>
      </w:r>
    </w:p>
    <w:p>
      <w:pPr>
        <w:ind w:left="420"/>
      </w:pPr>
      <w:r>
        <w:t xml:space="preserve">1. im Fall der Zahlung, Verrechnung oder Gutschrift:bei Zahlung, Verrechnung oder Gutschrift;</w:t>
      </w:r>
    </w:p>
    <w:p>
      <w:pPr>
        <w:ind w:left="420"/>
      </w:pPr>
      <w:r>
        <w:t xml:space="preserve">2. im Fall der Hinausschiebung der Zahlung wegen vorübergehender Zahlungsunfähigkeit des Schuldners:bei Zahlung, Verrechnung oder Gutschrift;</w:t>
      </w:r>
    </w:p>
    <w:p>
      <w:pPr>
        <w:ind w:left="420"/>
      </w:pPr>
      <w:r>
        <w:t xml:space="preserve">3. im Fall der Gewährung von Vorschüssen:bei Zahlung, Verrechnung oder Gutschrift der Vorschüsse.</w:t>
      </w:r>
    </w:p>
    <w:p>
      <w:r>
        <w:rPr>
          <w:color w:val="555555"/>
          <w:sz w:val="17"/>
        </w:rPr>
        <w:t xml:space="preserve">Zitiervorschlag: § 73c EStDV 1955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https://recht.nulegal.eu/gesetze/EStDV%201955/73c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