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68 EStDV 1955 — Nutzungssatz, Betriebsgutachten, Betriebswerk</w:t>
      </w:r>
    </w:p>
    <w:p>
      <w:r>
        <w:rPr>
          <w:color w:val="555555"/>
          <w:sz w:val="18"/>
        </w:rPr>
        <w:t xml:space="preserve">Einkommensteuer-Durchführungsverordnung</w:t>
      </w:r>
    </w:p>
    <w:p>
      <w:r>
        <w:rPr>
          <w:color w:val="555555"/>
          <w:sz w:val="18"/>
        </w:rPr>
        <w:t xml:space="preserve">Stand: 10.06.2019 (konsolidierte Textfassung, kein amtliches Inkrafttretensdatum)</w:t>
      </w:r>
    </w:p>
    <w:p>
      <w:r>
        <w:t xml:space="preserve">(1) 1Der Nutzungssatz muss periodisch für zehn Jahre durch die Finanzbehörde festgesetzt werden. 2Er muss den Holznutzungen entsprechen, die unter Berücksichtigung der vollen Ertragsfähigkeit des Waldes in Kubikmetern im Festmaß (Erntefestmeter Derbholz ohne Rinde) nachhaltig erzielbar sind.</w:t>
      </w:r>
    </w:p>
    <w:p>
      <w:r>
        <w:t xml:space="preserve">(2) 1Der Festsetzung des Nutzungssatzes ist ein amtlich anerkanntes Betriebsgutachten oder ein Betriebswerk zugrunde zu legen, das auf den Anfang des Wirtschaftsjahres aufzustellen ist, von dem an die Periode von zehn Jahren beginnt. 2Es soll innerhalb eines Jahres nach diesem Stichtag der Finanzbehörde übermittelt werden. 3Sofern der Zeitraum, für den es aufgestellt wurde, nicht unmittelbar an den vorherigen Zeitraum der Nutzungssatzfestsetzung anschließt, muss es spätestens auf den Anfang des Wirtschaftsjahrs des Schadensereignisses aufgestellt sein.</w:t>
      </w:r>
    </w:p>
    <w:p>
      <w:r>
        <w:t xml:space="preserve">(3) 1Ein Betriebsgutachten im Sinne des Absatzes 2 ist amtlich anerkannt, wenn die Anerkennung von einer Behörde oder einer Körperschaft des öffentlichen Rechts des Landes, in dem der forstwirtschaftliche Betrieb liegt, ausgesprochen wird. 2Die Länder bestimmen, welche Behörden oder Körperschaften des öffentlichen Rechts diese Anerkennung auszusprechen haben.</w:t>
      </w:r>
    </w:p>
    <w:p>
      <w:r>
        <w:rPr>
          <w:color w:val="555555"/>
          <w:sz w:val="17"/>
        </w:rPr>
        <w:t xml:space="preserve">Zitiervorschlag: § 68 EStDV 1955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https://recht.nulegal.eu/gesetze/EStDV%201955/68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