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 EStDV 1955 — Steuererklärungspflicht</w:t>
      </w:r>
    </w:p>
    <w:p>
      <w:r>
        <w:rPr>
          <w:color w:val="555555"/>
          <w:sz w:val="18"/>
        </w:rPr>
        <w:t xml:space="preserve">Einkommensteuer-Durchführungsverordnung</w:t>
      </w:r>
    </w:p>
    <w:p>
      <w:r>
        <w:rPr>
          <w:color w:val="555555"/>
          <w:sz w:val="18"/>
        </w:rPr>
        <w:t xml:space="preserve">Stand: 04.04.2024 (konsolidierte Textfassung, kein amtliches Inkrafttretensdatum)</w:t>
      </w:r>
    </w:p>
    <w:p>
      <w:r>
        <w:t xml:space="preserve">1Unbeschränkt Steuerpflichtige haben eine jährliche Einkommensteuererklärung für das abgelaufene Kalenderjahr (Veranlagungszeitraum) in den folgenden Fällen abzugeben:</w:t>
      </w:r>
    </w:p>
    <w:p>
      <w:pPr>
        <w:ind w:left="420"/>
      </w:pPr>
      <w:r>
        <w:t xml:space="preserve">1. Ehegatten, bei denen im Veranlagungszeitraum die Voraussetzungen des § 26 Abs. 1 des Gesetzes vorgelegen haben und von denen keiner die Einzelveranlagung nach § 26a des Gesetzes wählt,</w:t>
      </w:r>
    </w:p>
    <w:p>
      <w:pPr>
        <w:ind w:left="780"/>
      </w:pPr>
      <w:r>
        <w:t xml:space="preserve">a) wenn keiner der Ehegatten Einkünfte aus nichtselbständiger Arbeit, von denen ein Steuerabzug vorgenommen worden ist, bezogen und der Gesamtbetrag der Einkünfte mehr als das Zweifache des Grundfreibetrages nach § 32a Absatz 1 Satz 2 Nummer 1 des Gesetzes in der jeweils geltenden Fassung betragen hat,</w:t>
      </w:r>
    </w:p>
    <w:p>
      <w:pPr>
        <w:ind w:left="780"/>
      </w:pPr>
      <w:r>
        <w:t xml:space="preserve">b) wenn mindestens einer der Ehegatten Einkünfte aus nichtselbständiger Arbeit, von denen ein Steuerabzug vorgenommen worden ist, bezogen hat und eine Veranlagung nach § 46 Abs. 2 Nr. 1 bis 7 des Gesetzes in Betracht kommt;</w:t>
      </w:r>
    </w:p>
    <w:p>
      <w:pPr>
        <w:ind w:left="420"/>
      </w:pPr>
      <w:r>
        <w:t xml:space="preserve">2. Personen, bei denen im Veranlagungszeitraum die Voraussetzungen des § 26 Abs. 1 des Gesetzes nicht vorgelegen haben,</w:t>
      </w:r>
    </w:p>
    <w:p>
      <w:pPr>
        <w:ind w:left="780"/>
      </w:pPr>
      <w:r>
        <w:t xml:space="preserve">a) wenn der Gesamtbetrag der Einkünfte den Grundfreibetrag nach § 32a Absatz 1 Satz 2 Nummer 1 des Gesetzes in der jeweils geltenden Fassung überstiegen hat und darin keine Einkünfte aus nichtselbständiger Arbeit, von denen ein Steuerabzug vorgenommen worden ist, enthalten sind,</w:t>
      </w:r>
    </w:p>
    <w:p>
      <w:pPr>
        <w:ind w:left="780"/>
      </w:pPr>
      <w:r>
        <w:t xml:space="preserve">b) wenn in dem Gesamtbetrag der Einkünfte Einkünfte aus nichtselbständiger Arbeit, von denen ein Steuerabzug vorgenommen worden ist, enthalten sind und eine Veranlagung nach § 46 Abs. 2 Nr. 1 bis 6 und 7 Buchstabe b des Gesetzes in Betracht kommt.</w:t>
      </w:r>
    </w:p>
    <w:p>
      <w:r>
        <w:t xml:space="preserve">2Eine Steuererklärung ist außerdem abzugeben, wenn zum Schluss des vorangegangenen Veranlagungszeitraums ein verbleibender Verlustabzug oder ein nachversteuerungspflichtiger Betrag im Sinne von § 34a Absatz 3 Satz 3 des Gesetzes festgestellt worden ist.</w:t>
      </w:r>
    </w:p>
    <w:p>
      <w:r>
        <w:rPr>
          <w:color w:val="555555"/>
          <w:sz w:val="17"/>
        </w:rPr>
        <w:t xml:space="preserve">Zitiervorschlag: § 56 EStDV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https://recht.nulegal.eu/gesetze/EStDV%201955/56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