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EStDV 1955 — Pauschale Ermittlung der Gewinne aus Holznutzungen</w:t>
      </w:r>
    </w:p>
    <w:p>
      <w:r>
        <w:rPr>
          <w:color w:val="555555"/>
          <w:sz w:val="18"/>
        </w:rPr>
        <w:t xml:space="preserve">Einkommensteuer-Durchführungsverordnung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Steuerpflichtige, die für ihren Betrieb nicht zur Buchführung verpflichtet sind, den Gewinn nicht nach § 4 Absatz 1 des Einkommensteuergesetzes ermitteln und deren forstwirtschaftlich genutzte Fläche 50 Hektar nicht übersteigt, können auf Antrag für ein Wirtschaftsjahr bei der Ermittlung der Gewinne aus Holznutzungen pauschale Betriebsausgaben abziehen.</w:t>
      </w:r>
    </w:p>
    <w:p>
      <w:r>
        <w:t xml:space="preserve">(2) Die pauschalen Betriebsausgaben betragen 55 Prozent der Einnahmen aus der Verwertung des eingeschlagenen Holzes.</w:t>
      </w:r>
    </w:p>
    <w:p>
      <w:r>
        <w:t xml:space="preserve">(3) Soweit Holz auf dem Stamm verkauft wird, betragen die pauschalen Betriebsausgaben 20 Prozent der Einnahmen aus der Verwertung des stehenden Holzes.</w:t>
      </w:r>
    </w:p>
    <w:p>
      <w:r>
        <w:t xml:space="preserve">(4) Mit den pauschalen Betriebsausgaben nach den Absätzen 2 und 3 sind sämtliche Betriebsausgaben mit Ausnahme der Wiederaufforstungskosten und der Minderung des Buchwerts für ein Wirtschaftsgut Baumbestand abgegolten.</w:t>
      </w:r>
    </w:p>
    <w:p>
      <w:r>
        <w:t xml:space="preserve">(5) Diese Regelung gilt nicht für die Ermittlung des Gewinns aus Waldverkäufen sowie für die übrigen Einnahmen und die damit in unmittelbarem Zusammenhang stehenden Betriebsausgaben.</w:t>
      </w:r>
    </w:p>
    <w:p>
      <w:r>
        <w:rPr>
          <w:color w:val="555555"/>
          <w:sz w:val="17"/>
        </w:rPr>
        <w:t xml:space="preserve">Zitiervorschlag: § 51 EStDV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https://recht.nulegal.eu/gesetze/EStDV%201955/51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EStDV 1955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