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EStDV 1955 — Anwendung auf Ehegatten und Lebenspartner</w:t>
      </w:r>
    </w:p>
    <w:p>
      <w:r>
        <w:rPr>
          <w:color w:val="555555"/>
          <w:sz w:val="18"/>
        </w:rPr>
        <w:t xml:space="preserve">Einkommensteuer-Durchführungsverordnung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Regelungen dieser Verordnung zu Ehegatten und Ehen sind auch auf Lebenspartner und Lebenspartnerschaften anzuwenden.</w:t>
      </w:r>
    </w:p>
    <w:p>
      <w:r>
        <w:rPr>
          <w:color w:val="555555"/>
          <w:sz w:val="17"/>
        </w:rPr>
        <w:t xml:space="preserve">Zitiervorschlag: § 1 EStDV 1955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https://recht.nulegal.eu/gesetze/EStDV%201955/1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