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EStBAPO (Bayern) — Gestaltung des Zulassungsverfahrens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wird schriftlich durchgeführt Dabei kann auch eine der schriftlichen Aufgaben als Leistungstest gestaltet werden.</w:t>
      </w:r>
    </w:p>
    <w:p>
      <w:r>
        <w:t xml:space="preserve">(2) Bei der Durchführung des Zulassungsverfahrens und bei der Bewertung der Aufgaben sind die §§ 12, 13 Abs. 4, §§ 14, 15, 22, 23 Abs. 2, 4 und 5, §§ 31, 36 Abs. 1 und 3, § 37 Abs. 1 bis 4, Abs. 5 Satz 1 und 3 sowie die §§ 39, 46 Abs. 2 Satz 1 StBAPO entsprechend anzuwenden.</w:t>
      </w:r>
    </w:p>
    <w:p>
      <w:r>
        <w:rPr>
          <w:color w:val="555555"/>
          <w:sz w:val="17"/>
        </w:rPr>
        <w:t xml:space="preserve">Zitiervorschlag: § 5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