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EStBAPO (Bayern) — Inkrafttreten</w:t>
      </w:r>
    </w:p>
    <w:p>
      <w:r>
        <w:rPr>
          <w:color w:val="555555"/>
          <w:sz w:val="18"/>
        </w:rPr>
        <w:t xml:space="preserve">Ergänzungsausbildungsverordnung Steuer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2011 in Kraft.</w:t>
      </w:r>
    </w:p>
    <w:p>
      <w:r>
        <w:rPr>
          <w:color w:val="555555"/>
          <w:sz w:val="17"/>
        </w:rPr>
        <w:t xml:space="preserve">Zitiervorschlag: § 19 EStBAPO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https://recht.nulegal.eu/gesetze/EStBAPO/19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