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EStBAPO (Bayern) — Nachteilsausgleich</w:t>
      </w:r>
    </w:p>
    <w:p>
      <w:r>
        <w:rPr>
          <w:color w:val="555555"/>
          <w:sz w:val="18"/>
        </w:rPr>
        <w:t xml:space="preserve">Ergänzungsausbildungsverordnung Steuer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Sofern erforderlich, sind schwerbehinderten und gleichgestellten Beamtinnen oder Beamten auf ihren Antrag in entsprechender Anwendung des § 21 StBAPO angemessene Nachteilsausgleiche bei Prüfungen sowie dem Erwerb von Bescheinigungen der erfolgreichen Teilnahme nach § 12 Abs. 2 zu gewähren.</w:t>
      </w:r>
    </w:p>
    <w:p>
      <w:r>
        <w:rPr>
          <w:color w:val="555555"/>
          <w:sz w:val="17"/>
        </w:rPr>
        <w:t xml:space="preserve">Zitiervorschlag: § 18 EStBAPO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https://recht.nulegal.eu/gesetze/EStBAPO/18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