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EStAV 2023 (Brandenburg) — Inkrafttreten, Außerkrafttreten</w:t>
      </w:r>
    </w:p>
    <w:p>
      <w:r>
        <w:rPr>
          <w:color w:val="555555"/>
          <w:sz w:val="18"/>
        </w:rPr>
        <w:t xml:space="preserve">Einkommensteueraufteilverordnung 2023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01.09.2026 (konsolidierte Textfassung, kein amtliches Inkrafttretensdatum)</w:t>
      </w:r>
    </w:p>
    <w:p>
      <w:r>
        <w:t xml:space="preserve">Diese Verordnung tritt mit Wirkung vom 1. Januar 2021 in Kraft. Gleichzeitig tritt die Einkommensteueraufteilverordnung vom 9. Februar 2015 (GVBl. II Nr. 7) außer Kraft.</w:t>
      </w:r>
    </w:p>
    <w:p>
      <w:r>
        <w:t xml:space="preserve">Einzelnorm</w:t>
      </w:r>
    </w:p>
    <w:p>
      <w:r>
        <w:t xml:space="preserve">Potsdam, den 25. Januar 2021</w:t>
      </w:r>
    </w:p>
    <w:p>
      <w:r>
        <w:t xml:space="preserve">Die Ministerin der Finanzen und für Europa</w:t>
      </w:r>
    </w:p>
    <w:p>
      <w:r>
        <w:t xml:space="preserve">Katrin Lange</w:t>
      </w:r>
    </w:p>
    <w:p>
      <w:r>
        <w:rPr>
          <w:color w:val="555555"/>
          <w:sz w:val="17"/>
        </w:rPr>
        <w:t xml:space="preserve">Zitiervorschlag: § 6 EStAV 2023 (Brandenburg)</w:t>
      </w:r>
    </w:p>
    <w:p>
      <w:r>
        <w:rPr>
          <w:color w:val="555555"/>
          <w:sz w:val="17"/>
        </w:rPr>
        <w:t xml:space="preserve">Quelle: bravors, abgerufen 01.09.2026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https://recht.nulegal.eu/gesetze/EStAV%202023/6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