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EStAV 2023 (Brandenburg) — Verteilungsschlüssel für den Gemeindeanteil an der Einkommensteuer</w:t>
      </w:r>
    </w:p>
    <w:p>
      <w:r>
        <w:rPr>
          <w:color w:val="555555"/>
          <w:sz w:val="18"/>
        </w:rPr>
        <w:t xml:space="preserve">Einkommensteueraufteilverordnung 2023</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auf die Gemeinden im Land Brandenburg entfallende Gemeindeanteil an der Einkommensteuer wird für die Haushaltsjahre 2023 nach dem in der Anlage festgesetzten Schlüssel aufgeteilt.</w:t>
      </w:r>
    </w:p>
    <w:p>
      <w:r>
        <w:t xml:space="preserve">(2) In Fällen kommunaler Neugliederung ist nach § 4 der Einkommensteuerschlüsselzahlenermittlungsverordnung vom 21. September 2020 (BGBl. I S. 2017) zu verfahren. Dabei sind bei der Neufestsetzung die Schlüsselzahlen der betroffenen Gemeinden den neu- oder umgebildeten Gemeinden im Verhältnis der in sie aufgenommenen Einwohner und Einwohnerinnen zuzurechnen. Maßgebend ist die fortgeschriebene und zum Zeitpunkt der Festsetzung veröffentlichte Bevölkerungszahl der amtlichen Statistik, die durch das Amt für Statistik Berlin-Brandenburg zum 31. Dezember des vorvergangenen Jahres festgestellt wird.</w:t>
      </w:r>
    </w:p>
    <w:p>
      <w:r>
        <w:t xml:space="preserve">Einzelnorm</w:t>
      </w:r>
    </w:p>
    <w:p>
      <w:r>
        <w:rPr>
          <w:color w:val="555555"/>
          <w:sz w:val="17"/>
        </w:rPr>
        <w:t xml:space="preserve">Zitiervorschlag: § 1 EStAV 2023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https://recht.nulegal.eu/gesetze/EStAV%202023/1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