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ESiV 2020 — Änderung einer Sicherheitsbescheinigung</w:t>
      </w:r>
    </w:p>
    <w:p>
      <w:r>
        <w:rPr>
          <w:color w:val="555555"/>
          <w:sz w:val="18"/>
        </w:rPr>
        <w:t xml:space="preserve">Eisenbahn-Sicherheitsverordnung</w:t>
      </w:r>
    </w:p>
    <w:p>
      <w:r>
        <w:rPr>
          <w:color w:val="555555"/>
          <w:sz w:val="18"/>
        </w:rPr>
        <w:t xml:space="preserve">Stand: 25.06.2020 (konsolidierte Textfassung, kein amtliches Inkrafttretensdatum)</w:t>
      </w:r>
    </w:p>
    <w:p>
      <w:r>
        <w:t xml:space="preserve">(1) Wenn sich Art und Umfang der Eisenbahnverkehrsdienste wesentlich ändern, hat das Eisenbahnverkehrsunternehmen unverzüglich die Änderung der Sicherheitsbescheinigung zu beantragen.</w:t>
      </w:r>
    </w:p>
    <w:p>
      <w:r>
        <w:t xml:space="preserve">(2) Die Sicherheitsbescheinigungsstelle kann im Fall wesentlicher Änderungen von Rechtsvorschriften über die Betriebssicherheit eine Überprüfung der Sicherheitsbescheinigung durchführen.</w:t>
      </w:r>
    </w:p>
    <w:p>
      <w:r>
        <w:rPr>
          <w:color w:val="555555"/>
          <w:sz w:val="17"/>
        </w:rPr>
        <w:t xml:space="preserve">Zitiervorschlag: § 9 ESiV 2020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https://recht.nulegal.eu/gesetze/ESiV%202020/9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