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ESiV 2020 — Notifizierung von Sicherheitsvorschriften</w:t>
      </w:r>
    </w:p>
    <w:p>
      <w:r>
        <w:rPr>
          <w:color w:val="555555"/>
          <w:sz w:val="18"/>
        </w:rPr>
        <w:t xml:space="preserve">Eisenbahn-Sicherheitsverordnung</w:t>
      </w:r>
    </w:p>
    <w:p>
      <w:r>
        <w:rPr>
          <w:color w:val="555555"/>
          <w:sz w:val="18"/>
        </w:rPr>
        <w:t xml:space="preserve">Stand: 25.06.2020 (konsolidierte Textfassung, kein amtliches Inkrafttretensdatum)</w:t>
      </w:r>
    </w:p>
    <w:p>
      <w:r>
        <w:t xml:space="preserve">(1) Sicherheitsvorschriften dürfen nur dann erlassen oder herausgegeben werden,</w:t>
      </w:r>
    </w:p>
    <w:p>
      <w:pPr>
        <w:ind w:left="420"/>
      </w:pPr>
      <w:r>
        <w:t xml:space="preserve">1. wenn die Sicherheitsvorschrift noch nicht abgedeckt ist durch</w:t>
      </w:r>
    </w:p>
    <w:p>
      <w:pPr>
        <w:ind w:left="780"/>
      </w:pPr>
      <w:r>
        <w:t xml:space="preserve">a) eine Technische Spezifikation für die Interoperabilität,</w:t>
      </w:r>
    </w:p>
    <w:p>
      <w:pPr>
        <w:ind w:left="780"/>
      </w:pPr>
      <w:r>
        <w:t xml:space="preserve">b) eine gemeinsame Sicherheitsmethode oder</w:t>
      </w:r>
    </w:p>
    <w:p>
      <w:pPr>
        <w:ind w:left="780"/>
      </w:pPr>
      <w:r>
        <w:t xml:space="preserve">c) die Richtlinie 2007/59/EG des Europäischen Parlaments und des Rates vom 23. Oktober 2007 über die Zertifizierung von Triebfahrzeugführern, die Lokomotiven und Züge im Eisenbahnsystem in der Gemeinschaft führen (ABl. L 315 vom 3.12.2007, S. 51), die zuletzt durch die Verordnung (EU) 2019/554 (ABl. L 97 vom 8.4.2019, S. 1) geändert worden ist, in der jeweils geltenden Fassung oder</w:t>
      </w:r>
    </w:p>
    <w:p>
      <w:pPr>
        <w:ind w:left="420"/>
      </w:pPr>
      <w:r>
        <w:t xml:space="preserve">2. wenn es zur Gewährleistung oder Wiederherstellung der Eisenbahnsicherheit dringend erforderlich ist.</w:t>
      </w:r>
    </w:p>
    <w:p>
      <w:r>
        <w:t xml:space="preserve">Ausgenommen von den Anforderungen nach Satz 1 sind bereits notifizierte Sicherheitsvorschriften, die aus rechtlichen oder tatsächlichen Gründen angepasst werden müssen.</w:t>
      </w:r>
    </w:p>
    <w:p>
      <w:r>
        <w:t xml:space="preserve">(2) Eisenbahnen und Sektororganisationen haben der Sicherheitsbehörde den Entwurf einer Sicherheitsvorschrift einschließlich einer Begründung ihrer Notwendigkeit spätestens vier Monate vor der geplanten Veröffentlichung der Sicherheitsvorschrift zur Prüfung vorzulegen.</w:t>
      </w:r>
    </w:p>
    <w:p>
      <w:r>
        <w:t xml:space="preserve">(3) Die Sicherheitsbehörde notifiziert der Kommission und der Eisenbahnagentur der Europäischen Union (Agentur) spätestens drei Monate vor der geplanten Veröffentlichung der Sicherheitsvorschrift im Einvernehmen mit dem Bundesministerium für Verkehr und digitale Infrastruktur</w:t>
      </w:r>
    </w:p>
    <w:p>
      <w:pPr>
        <w:ind w:left="420"/>
      </w:pPr>
      <w:r>
        <w:t xml:space="preserve">1. die Entwürfe von Sicherheitsvorschriften nach Absatz 2 und</w:t>
      </w:r>
    </w:p>
    <w:p>
      <w:pPr>
        <w:ind w:left="420"/>
      </w:pPr>
      <w:r>
        <w:t xml:space="preserve">2. die Entwürfe von Sicherheitsvorschriften, die die Sicherheitsbehörde selbst erlässt.</w:t>
      </w:r>
    </w:p>
    <w:p>
      <w:r>
        <w:t xml:space="preserve">(4) Die Sicherheitsbehörde veröffentlicht die Listen der zu notifizierenden Sicherheitsvorschriften auf ihrer Internetseite. Sie ändert bei Bedarf nach Anhörung der betroffenen Wirtschaftskreise die jeweilige Liste der zu notifizierenden Sicherheitsvorschriften.</w:t>
      </w:r>
    </w:p>
    <w:p>
      <w:r>
        <w:t xml:space="preserve">(5) Bei dringlichen Präventionsmaßnahmen können Sicherheitsvorschriften sofort angewendet werden. Bei Sicherheitsvorschriften nach Absatz 2 bedarf es der Zustimmung der Sicherheitsbehörde. Die Sicherheitsbehörde notifiziert die Sicherheitsvorschrift umgehend nach Erlass und begründet deren Dringlichkeit. Das Bundesministerium für Verkehr und digitale Infrastruktur erhält die notifizierte Sicherheitsvorschrift zur Kenntnis.</w:t>
      </w:r>
    </w:p>
    <w:p>
      <w:r>
        <w:rPr>
          <w:color w:val="555555"/>
          <w:sz w:val="17"/>
        </w:rPr>
        <w:t xml:space="preserve">Zitiervorschlag: § 3 ESiV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https://recht.nulegal.eu/gesetze/ESiV%202020/3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