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ESiV 2020 — Sicherheitsbericht</w:t>
      </w:r>
    </w:p>
    <w:p>
      <w:r>
        <w:rPr>
          <w:color w:val="555555"/>
          <w:sz w:val="18"/>
        </w:rPr>
        <w:t xml:space="preserve">Eisenbahn-Sicherheitsverordnung</w:t>
      </w:r>
    </w:p>
    <w:p>
      <w:r>
        <w:rPr>
          <w:color w:val="555555"/>
          <w:sz w:val="18"/>
        </w:rPr>
        <w:t xml:space="preserve">Stand: 25.06.2020 (konsolidierte Textfassung, kein amtliches Inkrafttretensdatum)</w:t>
      </w:r>
    </w:p>
    <w:p>
      <w:r>
        <w:t xml:space="preserve">Eisenbahnverkehrsunternehmen und Eisenbahninfrastrukturunternehmen sind verpflichtet, der Sicherheitsbehörde zum 31. Mai jedes Jahres einen schriftlichen Sicherheitsbericht vorzulegen, der sich auf das vorangegangene Kalenderjahr bezieht, nach Maßgabe des Anhangs I Nummer 4.5.1.2 oder des Anhangs II Nummer 4.5.1.2 der Delegierten Verordnung (EU) 2018/762 der Kommission vom 8. März 2018 über gemeinsame Sicherheitsmethoden bezüglich der Anforderungen an Sicherheitsmanagementsysteme gemäß der Richtlinie (EU) 2016/798 des Europäischen Parlaments und des Rates und zur Aufhebung der Verordnungen (EU) Nr. 1158/2010 und (EU) Nr. 1169/2010 (ABl. L 129 vom 25.5.2018, S. 26) in der jeweils geltenden Fassung.</w:t>
      </w:r>
    </w:p>
    <w:p>
      <w:r>
        <w:rPr>
          <w:color w:val="555555"/>
          <w:sz w:val="17"/>
        </w:rPr>
        <w:t xml:space="preserve">Zitiervorschlag: § 23 ESiV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https://recht.nulegal.eu/gesetze/ESiV%202020/23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ESiV 2020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