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ESiV 2020 — Informationspflicht im Fall eines Fahrzeugaustausches</w:t>
      </w:r>
    </w:p>
    <w:p>
      <w:r>
        <w:rPr>
          <w:color w:val="555555"/>
          <w:sz w:val="18"/>
        </w:rPr>
        <w:t xml:space="preserve">Eisenbahn-Sicherheitsverordnung</w:t>
      </w:r>
    </w:p>
    <w:p>
      <w:r>
        <w:rPr>
          <w:color w:val="555555"/>
          <w:sz w:val="18"/>
        </w:rPr>
        <w:t xml:space="preserve">Stand: 25.06.2020 (konsolidierte Textfassung, kein amtliches Inkrafttretensdatum)</w:t>
      </w:r>
    </w:p>
    <w:p>
      <w:r>
        <w:t xml:space="preserve">Tauschen Eisenbahnverkehrsunternehmen untereinander ein Fahrzeug aus, übermitteln die nach § 21 Absatz 1 verpflichteten Betroffenen einander alle für einen sicheren Betrieb relevanten Informationen.</w:t>
      </w:r>
    </w:p>
    <w:p>
      <w:r>
        <w:rPr>
          <w:color w:val="555555"/>
          <w:sz w:val="17"/>
        </w:rPr>
        <w:t xml:space="preserve">Zitiervorschlag: § 22 ESiV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https://recht.nulegal.eu/gesetze/ESiV%202020/22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