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ESiV 2020 — Maßnahmen zur Risikobegrenzung</w:t>
      </w:r>
    </w:p>
    <w:p>
      <w:r>
        <w:rPr>
          <w:color w:val="555555"/>
          <w:sz w:val="18"/>
        </w:rPr>
        <w:t xml:space="preserve">Eisenbahn-Sicherheitsverordnung</w:t>
      </w:r>
    </w:p>
    <w:p>
      <w:r>
        <w:rPr>
          <w:color w:val="555555"/>
          <w:sz w:val="18"/>
        </w:rPr>
        <w:t xml:space="preserve">Stand: 25.06.2020 (konsolidierte Textfassung, kein amtliches Inkrafttretensdatum)</w:t>
      </w:r>
    </w:p>
    <w:p>
      <w:r>
        <w:t xml:space="preserve">(1) Eisenbahnen verpflichten bei Änderungen am Eisenbahnsystem gegebenenfalls die Halter von Eisenbahnfahrzeugen und die sonstigen Verantwortlichen nach § 2 Absatz 22 des Allgemeinen Eisenbahngesetzes vertraglich dazu, Maßnahmen zur Risikobegrenzung nach der Durchführungsverordnung (EU) Nr. 402/2013 der Kommission vom 30. April 2013 über die gemeinsame Sicherheitsmethode für die Evaluierung und Bewertung von Risiken und zur Aufhebung der Verordnung (EG) Nr. 352/2009 (ABl. L 121 vom 3.5.2013, S. 8), die durch die Durchführungsverordnung (EU) 2015/1136 (ABl. L 185 vom 14.7.2015, S. 6; L 70 vom 16.3.2016, S. 38) geändert worden ist, in der jeweils geltenden Fassung durchzuführen.</w:t>
      </w:r>
    </w:p>
    <w:p>
      <w:r>
        <w:t xml:space="preserve">(2) Eisenbahnen sorgen dafür, dass ihre Auftragnehmer Maßnahmen zur Risikobegrenzung durchführen und hierzu die gemeinsamen Sicherheitsmethoden für die Kontrolle nach Artikel 6 Absatz 1 Buchstabe c der Richtlinie (EU) 2016/798 anwenden und dass das in den vertraglichen Vereinbarungen vorgeschrieben wird. Die vertraglichen Vereinbarungen sind auf Verlangen der Agentur oder der Sicherheitsbehörde vorzulegen.</w:t>
      </w:r>
    </w:p>
    <w:p>
      <w:r>
        <w:t xml:space="preserve">(3) Halter von Eisenbahnfahrzeugen und sonstige Verantwortliche nach § 2 Absatz 22 des Allgemeinen Eisenbahngesetzes müssen auch ohne vertragliche Vereinbarung dafür sorgen:</w:t>
      </w:r>
    </w:p>
    <w:p>
      <w:pPr>
        <w:ind w:left="420"/>
      </w:pPr>
      <w:r>
        <w:t xml:space="preserve">1. dass die erforderlichen Maßnahmen zur Risikobegrenzung, gegebenenfalls in Zusammenarbeit mit anderen betroffenen Verantwortlichen durchgeführt werden, und</w:t>
      </w:r>
    </w:p>
    <w:p>
      <w:pPr>
        <w:ind w:left="420"/>
      </w:pPr>
      <w:r>
        <w:t xml:space="preserve">2. dass die von ihnen gelieferten Teilsysteme, Zubehörteile und Ausrüstungen sowie erbrachten Dienstleistungen den vorgegebenen Anforderungen und Einsatzbedingungen für den sicheren Betrieb von Eisenbahnen entsprechen.</w:t>
      </w:r>
    </w:p>
    <w:p>
      <w:r>
        <w:rPr>
          <w:color w:val="555555"/>
          <w:sz w:val="17"/>
        </w:rPr>
        <w:t xml:space="preserve">Zitiervorschlag: § 20 ESiV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https://recht.nulegal.eu/gesetze/ESiV%202020/20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