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ESiV 2020 — Begriffsbestimmungen</w:t>
      </w:r>
    </w:p>
    <w:p>
      <w:r>
        <w:rPr>
          <w:color w:val="555555"/>
          <w:sz w:val="18"/>
        </w:rPr>
        <w:t xml:space="preserve">Eisenbahn-Sicherheitsverordnung</w:t>
      </w:r>
    </w:p>
    <w:p>
      <w:r>
        <w:rPr>
          <w:color w:val="555555"/>
          <w:sz w:val="18"/>
        </w:rPr>
        <w:t xml:space="preserve">Stand: 25.06.2020 (konsolidierte Textfassung, kein amtliches Inkrafttretensdatum)</w:t>
      </w:r>
    </w:p>
    <w:p>
      <w:r>
        <w:t xml:space="preserve">Im Sinne dieser Verordnung ist oder sind:</w:t>
      </w:r>
    </w:p>
    <w:p>
      <w:pPr>
        <w:ind w:left="420"/>
      </w:pPr>
      <w:r>
        <w:t xml:space="preserve">1. „gemeinsame Sicherheitsmethoden“ die Methoden zur Beschreibung der Art und Weise, wie die Sicherheitsniveaus, die Erreichung der Sicherheitsziele und die Einhaltung der anderen Sicherheitsanforderungen beurteilt werden;</w:t>
      </w:r>
    </w:p>
    <w:p>
      <w:pPr>
        <w:ind w:left="420"/>
      </w:pPr>
      <w:r>
        <w:t xml:space="preserve">2. „Sicherheitsvorschriften“ alle verbindlichen Vorschriften, die Anforderungen zur Gewährleistung der Eisenbahnbetriebssicherheit enthalten und die für mehr als eine Eisenbahn oder für Dritte gelten, unabhängig davon, welche Stelle diese Vorschriften festlegt, mit Ausnahme der durch die Vorschriften der Europäischen Union oder der durch die internationalen Vorschriften festgelegten Anforderungen; Schienennetz-Nutzungsbedingungen und Nutzungsbedingungen für Serviceeinrichtungen sind keine Sicherheitsvorschriften im Sinne dieser Verordnung, auch wenn sie Sicherheitsvorschriften enthalten;</w:t>
      </w:r>
    </w:p>
    <w:p>
      <w:pPr>
        <w:ind w:left="420"/>
      </w:pPr>
      <w:r>
        <w:t xml:space="preserve">3. „Technische Spezifikationen für die Interoperabilität“ Spezifikationen im Sinne des Kapitels II der Richtlinie (EU) 2016/797 des Europäischen Parlaments und des Rates vom 11. Mai 2016 über die Interoperabilität des Eisenbahnsystems der Europäischen Union (ABl. L 138 vom 26.5.2016, S. 44) in der jeweils geltenden Fassung, der Richtlinie 2008/57/EG des Europäischen Parlaments und des Rates vom 17. Juni 2008 über die Interoperabilität des Eisenbahnsystems in der Gemeinschaft (Neufassung) (ABl. L 191 vom 18.7.2008, S. 1; L 103 vom 22.4.2015, S. 11), die zuletzt durch die Richtlinie 2014/106/EU (ABl. L 355 vom 12.12.2014, S. 42) geändert worden ist, der Richtlinie 96/48/EG des Rates vom 23. Juli 1996 über die Interoperabilität des transeuropäischen Hochgeschwindigkeitsbahnsystems (ABl. L 235 vom 17.9.1996, S. 6) oder der Richtlinie 2001/16/EG des Europäischen Parlaments und des Rates vom 19. März 2001 über die Interoperabilität des konventionellen transeuropäischen Eisenbahnsystems (ABl. L 110 vom 20.4.2001, S. 1), die jeweils zuletzt durch die Richtlinie 2007/32/EG (ABl. L 141 vom 2.6.2007, S. 63) geändert worden sind, die für jedes Teilsystem oder für Teile davon im Hinblick auf die Erfüllung der grundlegenden Anforderungen gelten und die Interoperabilität gewährleisten;</w:t>
      </w:r>
    </w:p>
    <w:p>
      <w:pPr>
        <w:ind w:left="420"/>
      </w:pPr>
      <w:r>
        <w:t xml:space="preserve">4. „zentrale Anlaufstelle“ das Informations- und Kommunikationssystem im Sinne des Artikels 12 der Verordnung (EU) 2016/796 des Europäischen Parlaments und des Rates vom 11. Mai 2016 über die Eisenbahnagentur der Europäischen Union und zur Aufhebung der Verordnung (EG) Nr. 881/2004 (ABl. L 138 vom 26.5.2016, S. 1) in der jeweils geltenden Fassung.</w:t>
      </w:r>
    </w:p>
    <w:p>
      <w:r>
        <w:rPr>
          <w:color w:val="555555"/>
          <w:sz w:val="17"/>
        </w:rPr>
        <w:t xml:space="preserve">Zitiervorschlag: § 2 ESiV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https://recht.nulegal.eu/gesetze/ESiV%202020/2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