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ESiV 2020 — Pflichten der für die Instandhaltung zuständigen Stellen</w:t>
      </w:r>
    </w:p>
    <w:p>
      <w:r>
        <w:rPr>
          <w:color w:val="555555"/>
          <w:sz w:val="18"/>
        </w:rPr>
        <w:t xml:space="preserve">Eisenbahn-Sicherheitsverordnung</w:t>
      </w:r>
    </w:p>
    <w:p>
      <w:r>
        <w:rPr>
          <w:color w:val="555555"/>
          <w:sz w:val="18"/>
        </w:rPr>
        <w:t xml:space="preserve">Stand: 25.06.2020 (konsolidierte Textfassung, kein amtliches Inkrafttretensdatum)</w:t>
      </w:r>
    </w:p>
    <w:p>
      <w:r>
        <w:t xml:space="preserve">(1) Die für die Instandhaltung zuständigen Stellen stellen sicher, dass sich die Instandhaltung richtet nach</w:t>
      </w:r>
    </w:p>
    <w:p>
      <w:pPr>
        <w:ind w:left="420"/>
      </w:pPr>
      <w:r>
        <w:t xml:space="preserve">1. den Instandhaltungsunterlagen jedes Eisenbahnfahrzeugs nach Artikel 14 Absatz 3 Satz 1 Buchstabe b der Richtlinie (EU) 2016/798 und</w:t>
      </w:r>
    </w:p>
    <w:p>
      <w:pPr>
        <w:ind w:left="420"/>
      </w:pPr>
      <w:r>
        <w:t xml:space="preserve">2. den anwendbaren Anforderungen, einschließlich der Regelungen zur Fahrzeuginstandhaltung und der Technischen Spezifikationen für die Interoperabilität.</w:t>
      </w:r>
    </w:p>
    <w:p>
      <w:r>
        <w:t xml:space="preserve">(2) § 20 Absatz 2 Satz 2 gilt entsprechend.</w:t>
      </w:r>
    </w:p>
    <w:p>
      <w:r>
        <w:rPr>
          <w:color w:val="555555"/>
          <w:sz w:val="17"/>
        </w:rPr>
        <w:t xml:space="preserve">Zitiervorschlag: § 19 ESiV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https://recht.nulegal.eu/gesetze/ESiV%202020/19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ESiV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