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ESiV 2020 — Pflicht, Voraussetzungen einer Sicherheitsbescheinigung und einer Sicherheitsgenehmigung zu erfüllen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Stand: 25.06.2020 (konsolidierte Textfassung, kein amtliches Inkrafttretensdatum)</w:t>
      </w:r>
    </w:p>
    <w:p>
      <w:r>
        <w:t xml:space="preserve">Eisenbahnen haben sicherzustellen, dass die Voraussetzungen, die für die Erteilung einer Sicherheitsbescheinigung oder einer Sicherheitsgenehmigung gegolten haben, auch nach der Erteilung erfüllt werden.</w:t>
      </w:r>
    </w:p>
    <w:p>
      <w:r>
        <w:rPr>
          <w:color w:val="555555"/>
          <w:sz w:val="17"/>
        </w:rPr>
        <w:t xml:space="preserve">Zitiervorschlag: § 18 ESiV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https://recht.nulegal.eu/gesetze/ESiV%202020/18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