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ESiV 2020 — Verfahren für die Erteilung einer Sicherheitsgenehmigung</w:t>
      </w:r>
    </w:p>
    <w:p>
      <w:r>
        <w:rPr>
          <w:color w:val="555555"/>
          <w:sz w:val="18"/>
        </w:rPr>
        <w:t xml:space="preserve">Eisenbahn-Sicherheitsverordnung</w:t>
      </w:r>
    </w:p>
    <w:p>
      <w:r>
        <w:rPr>
          <w:color w:val="555555"/>
          <w:sz w:val="18"/>
        </w:rPr>
        <w:t xml:space="preserve">Stand: 25.06.2020 (konsolidierte Textfassung, kein amtliches Inkrafttretensdatum)</w:t>
      </w:r>
    </w:p>
    <w:p>
      <w:r>
        <w:t xml:space="preserve">(1) Die Sicherheitsbehörde entscheidet über einen Antrag auf Erteilung einer Sicherheitsgenehmigung unverzüglich nach Vorlage der für die Entscheidung erforderlichen Unterlagen, spätestens jedoch vier Monate nach Vorlage.</w:t>
      </w:r>
    </w:p>
    <w:p>
      <w:r>
        <w:t xml:space="preserve">(2) Stellt die Sicherheitsbehörde vor Ablauf der Frist Mängel der vorgelegten Unterlagen fest, hat sie dem Antragsteller Gelegenheit zur Beseitigung der Mängel zu geben. Gibt die Sicherheitsbehörde dem Antragsteller Gelegenheit, Mängeln der vorgelegten Unterlagen abzuhelfen, so ist die Frist nach Absatz 1 bis zur Behebung der Mängel gehemmt.</w:t>
      </w:r>
    </w:p>
    <w:p>
      <w:r>
        <w:t xml:space="preserve">(3) Die Sicherheitsgenehmigung gilt fünf Jahre. Sie kann erneuert werden. Soweit ihre Erneuerung bis spätestens sechs Monate vor Ablauf der Geltungsdauer beantragt wird, gilt die jeweilige Sicherheitsgenehmigung bis zur Unanfechtbarkeit der Entscheidung über den Verlängerungsantrag als weiterhin erteilt.</w:t>
      </w:r>
    </w:p>
    <w:p>
      <w:r>
        <w:t xml:space="preserve">(4) Für Änderungen und den Widerruf einer Sicherheitsgenehmigung gelten die §§ 9 und 10 Absatz 1 und 3 entsprechend.</w:t>
      </w:r>
    </w:p>
    <w:p>
      <w:r>
        <w:rPr>
          <w:color w:val="555555"/>
          <w:sz w:val="17"/>
        </w:rPr>
        <w:t xml:space="preserve">Zitiervorschlag: § 16 ESiV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https://recht.nulegal.eu/gesetze/ESiV%202020/16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