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14 ESiV 2020 — Voraussetzungen für die Erteilung einer Sicherheitsgenehmigung</w:t>
      </w:r>
    </w:p>
    <w:p>
      <w:r>
        <w:rPr>
          <w:color w:val="555555"/>
          <w:sz w:val="18"/>
        </w:rPr>
        <w:t xml:space="preserve">Eisenbahn-Sicherheitsverordnung</w:t>
      </w:r>
    </w:p>
    <w:p>
      <w:r>
        <w:rPr>
          <w:color w:val="555555"/>
          <w:sz w:val="18"/>
        </w:rPr>
        <w:t xml:space="preserve">Stand: 25.06.2020 (konsolidierte Textfassung, kein amtliches Inkrafttretensdatum)</w:t>
      </w:r>
    </w:p>
    <w:p>
      <w:r>
        <w:t xml:space="preserve">Die Sicherheitsgenehmigung ist für bestimmte Schienennetze oder Schienenwege des übergeordneten Netzes zu erteilen, wenn das Eisenbahninfrastrukturunternehmen den Nachweis erbringt, dass es</w:t>
      </w:r>
    </w:p>
    <w:p>
      <w:pPr>
        <w:ind w:left="420"/>
      </w:pPr>
      <w:r>
        <w:t xml:space="preserve">1. ein Sicherheitsmanagementsystem eingerichtet hat, das mindestens die Anforderungen des Artikels 9 Absatz 1 bis 5 der Richtlinie (EU) 2016/798 erfüllt, und</w:t>
      </w:r>
    </w:p>
    <w:p>
      <w:pPr>
        <w:ind w:left="420"/>
      </w:pPr>
      <w:r>
        <w:t xml:space="preserve">2. die besonderen Anforderungen für eine sichere Planung, Instandhaltung und einen sicheren Betrieb der Schienenwege einschließlich der Steuerungs- und Sicherungssysteme erfüllt.</w:t>
      </w:r>
    </w:p>
    <w:p>
      <w:r>
        <w:rPr>
          <w:color w:val="555555"/>
          <w:sz w:val="17"/>
        </w:rPr>
        <w:t xml:space="preserve">Zitiervorschlag: § 14 ESiV 2020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https://recht.nulegal.eu/gesetze/ESiV%202020/14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