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ESiV 2020 — Unverhältnismäßige Maßnahmen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Stand: 25.06.2020 (konsolidierte Textfassung, kein amtliches Inkrafttretensdatum)</w:t>
      </w:r>
    </w:p>
    <w:p>
      <w:r>
        <w:t xml:space="preserve">Hält die Agentur im Fall des § 5a Absatz 2 Satz 1 des Allgemeinen Eisenbahngesetzes die von der Sicherheitsbehörde getroffenen Maßnahmen für unverhältnismäßig, findet das Verfahren nach Artikel 17 Absatz 6 Unterabsatz 3 der Richtlinie (EU) 2016/798 Anwendung.</w:t>
      </w:r>
    </w:p>
    <w:p>
      <w:r>
        <w:rPr>
          <w:color w:val="555555"/>
          <w:sz w:val="17"/>
        </w:rPr>
        <w:t xml:space="preserve">Zitiervorschlag: § 12 ESiV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https://recht.nulegal.eu/gesetze/ESiV%202020/12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