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ESiV 2020 — Anwendungsbereich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(1) Diese Verordnung gilt für das öffentliche Eisenbahnsystem im übergeordneten Netz nach § 2b des Allgemeinen Eisenbahngesetzes.</w:t>
      </w:r>
    </w:p>
    <w:p>
      <w:r>
        <w:t xml:space="preserve">(2) Diese Verordnung gilt nicht</w:t>
      </w:r>
    </w:p>
    <w:p>
      <w:pPr>
        <w:ind w:left="420"/>
      </w:pPr>
      <w:r>
        <w:t xml:space="preserve">1. für Eisenbahnen, die auf Eisenbahninfrastrukturen nach § 2b Absatz 1 Nummer 1 bis 4 des Allgemeinen Eisenbahngesetzes bis in einen Übergangsbahnhof des übergeordneten Netzes ohne Sicherheitsbescheinigung am Eisenbahnbetrieb teilnehmen, und</w:t>
      </w:r>
    </w:p>
    <w:p>
      <w:pPr>
        <w:ind w:left="420"/>
      </w:pPr>
      <w:r>
        <w:t xml:space="preserve">2. für Eisenbahnen, soweit sie Fahrzeuge, die ausschließlich zu historischen oder touristischen Zwecken genutzt werden, betreiben.</w:t>
      </w:r>
    </w:p>
    <w:p>
      <w:r>
        <w:rPr>
          <w:color w:val="555555"/>
          <w:sz w:val="17"/>
        </w:rPr>
        <w:t xml:space="preserve">Zitiervorschlag: § 1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