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ESchV (Bayern) — Übergangsregelung</w:t>
      </w:r>
    </w:p>
    <w:p>
      <w:r>
        <w:rPr>
          <w:color w:val="555555"/>
          <w:sz w:val="18"/>
        </w:rPr>
        <w:t xml:space="preserve">Erosionsschutzverordnung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Regelungen gelten für alle Antragsteller, die die Konditionalitätsvorgaben des Art. 12 der Verordnung (EU) 2021/2115 einhalten müssen. Soweit und solange ein Begünstigter den Cross-Compliance-Vorschriften des Art. 93 der Verordnung (EU) Nr. 1306/2013 unterliegt, findet die Erosionsschutzverordnung in der am 1. Januar 2016 geltenden Fassung Anwendung.</w:t>
      </w:r>
    </w:p>
    <w:p>
      <w:r>
        <w:rPr>
          <w:color w:val="555555"/>
          <w:sz w:val="17"/>
        </w:rPr>
        <w:t xml:space="preserve">Zitiervorschlag: § 5 ESchV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https://recht.nulegal.eu/gesetze/ESchV/5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