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ESchV (Bayern) — Bestimmung von Erosionsgefährdungsklassen für Feldstücke</w:t>
      </w:r>
    </w:p>
    <w:p>
      <w:r>
        <w:rPr>
          <w:color w:val="555555"/>
          <w:sz w:val="18"/>
        </w:rPr>
        <w:t xml:space="preserve">Erosionsschutzverordnung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zur Begrenzung der Erosion vorgeschriebenen Maßnahmen müssen feldstückbezogen durchgeführt werden. Die Bestimmung der Erosionsgefährdungsklassen für Feldstücke erfolgt nach der Anlage .</w:t>
      </w:r>
    </w:p>
    <w:p>
      <w:r>
        <w:t xml:space="preserve">(2) Im Einzelfall kann eine auf Grund fehlender, ungenauer, nicht ausreichender oder geänderter Datengrundlage notwendige Zuweisung von Erosionsgefährdungsklassen an Feldstücke von den Ämtern für Ernährung, Landwirtschaft und Forsten vorgenommen werden.</w:t>
      </w:r>
    </w:p>
    <w:p>
      <w:r>
        <w:rPr>
          <w:color w:val="555555"/>
          <w:sz w:val="17"/>
        </w:rPr>
        <w:t xml:space="preserve">Zitiervorschlag: § 3 ESchV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https://recht.nulegal.eu/gesetze/ESchV/3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