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ESchV (Bayern) — Einstufung der Erosionsgefährdung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landwirtschaftliche Fläche in Bayern wird nach dem Grad der Erosionsgefährdung eingestuft. Grundlagen der Einstufung sind:</w:t>
      </w:r>
    </w:p>
    <w:p>
      <w:r>
        <w:t xml:space="preserve">1. bei der Erosionsgefährdung durch Wasser die Vorgaben der Anlage 3 zu § 16 GAPKondV unter Berücksichtigung der Bodenerodierbarkeit (K-Faktor) auf der Grundlage des Klassenbeschriebs der Bodenschätzung der Vermessungsverwaltung, der Hangneigung (S-Faktor) auf der Grundlage des Digitalen Geländemodells der Vermessungsverwaltung und des Regenerosivitätsfaktors (R-Faktor),</w:t>
      </w:r>
    </w:p>
    <w:p>
      <w:r>
        <w:t xml:space="preserve">2. bei der Erosionsgefährdung durch Wind die Vorgaben der Anlage 4 zu § 16 GAPKondV, der Klassenbeschrieb und die Grablochdaten der Bodenschätzung der Vermessungsverwaltung, Moorbodenkartierungen des Bayerischen Landesamts für Umwelt und die durch den Deutschen Wetterdienst festgestellte Windgeschwindigkeit.</w:t>
      </w:r>
    </w:p>
    <w:p>
      <w:r>
        <w:t xml:space="preserve">(2) Die Gebiete, die den Erosionsgefährdungsklassen zugehören, werden in einer zu Informationszwecken dienenden Karte (Erosionsgefährdungskataster) bezeichnet. Das Erosionsgefährdungskataster wird</w:t>
      </w:r>
    </w:p>
    <w:p>
      <w:r>
        <w:t xml:space="preserve">1. in digitaler Form in das Internet eingestellt,</w:t>
      </w:r>
    </w:p>
    <w:p>
      <w:r>
        <w:t xml:space="preserve">2. als Übersichtskarte an den Ämtern für Ernährung, Landwirtschaft und Forsten niedergelegt und ist dort von jedermann während der Dienstzeiten einsehbar.</w:t>
      </w:r>
    </w:p>
    <w:p>
      <w:r>
        <w:rPr>
          <w:color w:val="555555"/>
          <w:sz w:val="17"/>
        </w:rPr>
        <w:t xml:space="preserve">Zitiervorschlag: § 2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