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ESchV (Bayern) — Geltungsbereich und Begriffsbestimmungen</w:t>
      </w:r>
    </w:p>
    <w:p>
      <w:r>
        <w:rPr>
          <w:color w:val="555555"/>
          <w:sz w:val="18"/>
        </w:rPr>
        <w:t xml:space="preserve">Erosionsschutzverordnung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regelt</w:t>
      </w:r>
    </w:p>
    <w:p>
      <w:r>
        <w:t xml:space="preserve">1. die verbindliche Einteilung der landwirtschaftlichen Flächen nach dem Grad der Wasser- und Winderosionsgefährdung und</w:t>
      </w:r>
    </w:p>
    <w:p>
      <w:r>
        <w:t xml:space="preserve">2. von § 16 Abs. 2 bis 4 der GAP-Konditionalitäten-Verordnung (GAPKondV) abweichende Anforderungen zur Begrenzung der Erosion.</w:t>
      </w:r>
    </w:p>
    <w:p>
      <w:r>
        <w:t xml:space="preserve">(2) Im Sinn dieser Verordnung bedeutet</w:t>
      </w:r>
    </w:p>
    <w:p>
      <w:r>
        <w:t xml:space="preserve">1. Feldstück:</w:t>
      </w:r>
    </w:p>
    <w:p>
      <w:r>
        <w:t xml:space="preserve">eine Fläche, die die Voraussetzungen nach § 5 Abs. 1 Nr. 3 der GAPInVeKoS-Verordnung erfüllt;</w:t>
      </w:r>
    </w:p>
    <w:p>
      <w:r>
        <w:t xml:space="preserve">2. hangparallel:</w:t>
      </w:r>
    </w:p>
    <w:p>
      <w:r>
        <w:t xml:space="preserve">überwiegend quer zur Haupthangrichtung; die beiden Vorgewende bleiben unberücksichtigt;</w:t>
      </w:r>
    </w:p>
    <w:p>
      <w:r>
        <w:t xml:space="preserve">3. frühe Sommerkulturen:</w:t>
      </w:r>
    </w:p>
    <w:p>
      <w:r>
        <w:t xml:space="preserve">frühe Sommerkulturen sind folgende Kulturen aus Anlage 5 GAPKondV, bei denen aufgrund der vorherrschenden Witterung in Bayern die Aussaat oder Pflanzung in der Regel zu den in der Anlage 5 GAPKondV genannten Terminen erfolgt:</w:t>
      </w:r>
    </w:p>
    <w:p>
      <w:r>
        <w:t xml:space="preserve">a) Sommergetreide ohne Mais und Hirse,</w:t>
      </w:r>
    </w:p>
    <w:p>
      <w:r>
        <w:t xml:space="preserve">b) Leguminosen ohne Sojabohnen,</w:t>
      </w:r>
    </w:p>
    <w:p>
      <w:r>
        <w:t xml:space="preserve">c) Sonnenblumen, Sommerraps, Sommerrübsen, Körnersenf, Leindotter, Lein, Mohn, Heil-, Duft- und Gewürzpflanzen, Küchenkräuter, Kleegras, Klee-/Luzernegras-Gemisch, Ackergras, Grünlandeinsaat, Kartoffeln, Rüben, Gemüsekulturen;</w:t>
      </w:r>
    </w:p>
    <w:p>
      <w:r>
        <w:t xml:space="preserve">4. rasenbildende Kulturen:</w:t>
      </w:r>
    </w:p>
    <w:p>
      <w:r>
        <w:t xml:space="preserve">rasenbildende Kulturen sind Klee, Kleegras, Klee-/Luzernegras-Gemisch, Luzerne, Ackergras, Klee-Luzerne-Gemisch, Wechselgrünland, Esparsette, Serradella kleinkörnig, Grünlandeinsaat – Wiesen, Grünlandeinsaat – Mähweiden, Grünlandeinsaat – Weiden;</w:t>
      </w:r>
    </w:p>
    <w:p>
      <w:r>
        <w:t xml:space="preserve">5. überjährige Hauptkultur:</w:t>
      </w:r>
    </w:p>
    <w:p>
      <w:r>
        <w:t xml:space="preserve">eine Kultur, die als Hauptkultur im Mehrfachantrag gemeldet wurde und spätestens im Herbst vor dieser Mehrfachantragstellung angesät wurde.</w:t>
      </w:r>
    </w:p>
    <w:p>
      <w:r>
        <w:rPr>
          <w:color w:val="555555"/>
          <w:sz w:val="17"/>
        </w:rPr>
        <w:t xml:space="preserve">Zitiervorschlag: § 1 ESchV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https://recht.nulegal.eu/gesetze/ESchV/1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