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ESanMV</w:t>
      </w:r>
    </w:p>
    <w:p>
      <w:r>
        <w:rPr>
          <w:color w:val="555555"/>
          <w:sz w:val="18"/>
        </w:rPr>
        <w:t xml:space="preserve">Energetische Sanierungsmaßnahmen-Verordnung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Grund des § 35c des Einkommensteuergesetzes, der durch Artikel 1 des Gesetzes vom 21. Dezember 2019 (BGBl. I S. 2886) eingefügt worden ist, verordnet die Bundesregierung mit Zustimmung des Bundestages und des Bundesrates:</w:t>
      </w:r>
    </w:p>
    <w:p>
      <w:r>
        <w:rPr>
          <w:color w:val="555555"/>
          <w:sz w:val="17"/>
        </w:rPr>
        <w:t xml:space="preserve">Zitiervorschlag: Eingangsformel ESanMV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https://recht.nulegal.eu/gesetze/ESanMV/eingangsformel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