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3 ESanMV — Wärmedämmung von Geschossdecken</w:t>
      </w:r>
    </w:p>
    <w:p>
      <w:r>
        <w:rPr>
          <w:color w:val="555555"/>
          <w:sz w:val="18"/>
        </w:rPr>
        <w:t xml:space="preserve">Energetische Sanierungsmaßnahmen-Verordnung</w:t>
      </w:r>
    </w:p>
    <w:p>
      <w:r>
        <w:rPr>
          <w:color w:val="555555"/>
          <w:sz w:val="18"/>
        </w:rPr>
        <w:t xml:space="preserve">Stand: 18.06.2021 (konsolidierte Textfassung, kein amtliches Inkrafttretensdatum)</w:t>
      </w:r>
    </w:p>
    <w:p>
      <w:r>
        <w:t xml:space="preserve">(Fundstelle: BGBl. I 2021, 1784)</w:t>
      </w:r>
    </w:p>
    <w:p>
      <w:r>
        <w:t xml:space="preserve">Die in der nachfolgenden Tabelle genannten Anforderungen an die Wärmedurchgangskoeffizienten (U-Werte) sind bei Sanierung der jeweiligen Bauteile einzuhalten. Die Anforderungen beziehen sich nur auf die wärmeübertragenden Umfassungsflächen.</w:t>
      </w:r>
    </w:p>
    <w:p>
      <w:r>
        <w:t xml:space="preserve">Anforderungen an die Wärmedurchgangskoeffizienten (U-Werte) der jeweiligen Bauteile</w:t>
      </w:r>
    </w:p>
    <w:p>
      <w:r>
        <w:rPr>
          <w:rFonts w:ascii="Courier New" w:hAnsi="Courier New"/>
          <w:sz w:val="17"/>
        </w:rPr>
        <w:t xml:space="preserve">lfd. Nummer    Bauteil    Höchstwerte der Wärmedurchgangskoeffizienten Umax in W/(m2 K) bzw. der max. Wärmeleitfähigkeitλ in W/(m K)</w:t>
      </w:r>
    </w:p>
    <w:p>
      <w:r>
        <w:rPr>
          <w:rFonts w:ascii="Courier New" w:hAnsi="Courier New"/>
          <w:sz w:val="17"/>
        </w:rPr>
        <w:t xml:space="preserve">3.1    Oberste Geschossdecken und Wände (einschließlich Abseitenwände) gegen unbeheizte Dachräume    0,14</w:t>
      </w:r>
    </w:p>
    <w:p>
      <w:r>
        <w:rPr>
          <w:rFonts w:ascii="Courier New" w:hAnsi="Courier New"/>
          <w:sz w:val="17"/>
        </w:rPr>
        <w:t xml:space="preserve">3.2    Decken gegen unbeheizte Räume sowie Kellerdecken    0,25</w:t>
      </w:r>
    </w:p>
    <w:p>
      <w:r>
        <w:rPr>
          <w:rFonts w:ascii="Courier New" w:hAnsi="Courier New"/>
          <w:sz w:val="17"/>
        </w:rPr>
        <w:t xml:space="preserve">3.3    Geschossdecken gegen Außenluft von unten    0,20</w:t>
      </w:r>
    </w:p>
    <w:p>
      <w:r>
        <w:rPr>
          <w:rFonts w:ascii="Courier New" w:hAnsi="Courier New"/>
          <w:sz w:val="17"/>
        </w:rPr>
        <w:t xml:space="preserve">3.4    Bodenflächen gegen Erdreich    0,25</w:t>
      </w:r>
    </w:p>
    <w:p>
      <w:r>
        <w:t xml:space="preserve">Bei Sanierungsmaßnahmen, insbesondere an der wärmeübertragenden Gebäudehülle, ist stets zu prüfen, ob Maßnahmen zur Einhaltung des Mindestfeuchteschutzes, insbesondere zur Vermeidung von Tauwasserausfall und Schimmelpilzbildung durch Einhaltung des Mindestluftwechsels und des Mindestwärmeschutzes, erforderlich sind. Bei allen Maßnahmen ist auf eine wärmebrückenminimierte und luftdichte Ausführung zu achten. Entsprechende Nachweise sind zu führen. Notwendige Maßnahmen sind umzusetzen.</w:t>
      </w:r>
    </w:p>
    <w:p>
      <w:r>
        <w:rPr>
          <w:color w:val="555555"/>
          <w:sz w:val="17"/>
        </w:rPr>
        <w:t xml:space="preserve">Zitiervorschlag: Anlage 3 ESanMV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https://recht.nulegal.eu/gesetze/ESanMV/anlage-3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3 ESanMV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