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ESanMV — Inkrafttreten, Außerkrafttreten</w:t>
      </w:r>
    </w:p>
    <w:p>
      <w:r>
        <w:rPr>
          <w:color w:val="555555"/>
          <w:sz w:val="18"/>
        </w:rPr>
        <w:t xml:space="preserve">Energetische Sanierungsmaßnahmen-Verordnung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Diese Verordnung tritt am 1. Januar 2020 in Kraft. Diese Verordnung tritt mit Ablauf des 31. Dezember 2029 außer Kraft.</w:t>
      </w:r>
    </w:p>
    <w:p>
      <w:r>
        <w:rPr>
          <w:color w:val="555555"/>
          <w:sz w:val="17"/>
        </w:rPr>
        <w:t xml:space="preserve">Zitiervorschlag: § 4 ESanMV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https://recht.nulegal.eu/gesetze/ESanMV/4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