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ESanMV — Anwendungsregelungen</w:t>
      </w:r>
    </w:p>
    <w:p>
      <w:r>
        <w:rPr>
          <w:color w:val="555555"/>
          <w:sz w:val="18"/>
        </w:rPr>
        <w:t xml:space="preserve">Energetische Sanierungsmaßnahmen-Verordnung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Fassung der Verordnung ist erstmals für den Veranlagungszeitraum 2025 anzuwenden; sie gilt für energetische Maßnahmen, mit denen nach dem 31. Dezember 2024 begonnen wurde.</w:t>
      </w:r>
    </w:p>
    <w:p>
      <w:r>
        <w:rPr>
          <w:color w:val="555555"/>
          <w:sz w:val="17"/>
        </w:rPr>
        <w:t xml:space="preserve">Zitiervorschlag: § 3 ESanMV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https://recht.nulegal.eu/gesetze/ESanMV/3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