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ESZV (Brandenburg) — Ermittlung des Betriebskostenzuschusses</w:t>
      </w:r>
    </w:p>
    <w:p>
      <w:r>
        <w:rPr>
          <w:color w:val="555555"/>
          <w:sz w:val="18"/>
        </w:rPr>
        <w:t xml:space="preserve">Ersatzschulzuschussverordnung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für eine Ersatzschule gewährte Betriebskostenzuschuss ergibt sich aus</w:t>
      </w:r>
    </w:p>
    <w:p>
      <w:r>
        <w:t xml:space="preserve">dem Produkt aus dem gemäß § 124a Absatz 2 des Brandenburgischen Schulgesetzes ermittelten jährlichen Schülerausgabensatz der jeweiligen Schulform und der maßgeblichen Zahl der Schülerinnen und Schüler gemäß Absatz 3 sowie</w:t>
      </w:r>
    </w:p>
    <w:p>
      <w:r>
        <w:t xml:space="preserve">den zusätzlichen Zuschüssen gemäß § 124a Absatz 7 des Brandenburgischen Schulgesetzes.</w:t>
      </w:r>
    </w:p>
    <w:p>
      <w:r>
        <w:t xml:space="preserve">(2) Die Schülerausgabensätze je Schulform und Schuljahr bestimmen sich nach § 3.</w:t>
      </w:r>
    </w:p>
    <w:p>
      <w:r>
        <w:t xml:space="preserve">(3) Die maßgebliche Zahl der Schülerinnen und Schüler ist unbeschadet der Regelungen in § 5 Absatz 2 Satz 2 und § 5 Absatz 3 Satz 2 die tatsächliche Schülerzahl nach Schulformen des Zuschusszeitraums gemäß § 6 Absatz 2. Unbeschadet von Satz 1 wird der ersten und zweiten Berechnung des Betriebskostenzuschusses gemäß § 5 Absatz 2 und 3 die Zahl der Schülerinnen und Schüler, die sich aus der Schuldatenerhebung gemäß § 13 der Datenschutzverordnung Schulwesen (Schuldatenerhebung) ergibt, zu Grunde gelegt.</w:t>
      </w:r>
    </w:p>
    <w:p>
      <w:r>
        <w:t xml:space="preserve">(4) Die zusätzlichen Zuschüsse bestimmen sich nach § 4 und der Anlage.</w:t>
      </w:r>
    </w:p>
    <w:p>
      <w:r>
        <w:rPr>
          <w:color w:val="555555"/>
          <w:sz w:val="17"/>
        </w:rPr>
        <w:t xml:space="preserve">Zitiervorschlag: § 2 ESZV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