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ESVGDüV — Übermittlung von nach der InVeKoS-Verordnung erhobenen und gespeicherten Daten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Die in § 3 Absatz 2 Nummer 4 genannten Behörden haben folgende der erhobenen und gespeicherten Daten nach den §§ 8, 10 und 16 der InVeKoS-Verordnung vom 24. Februar 2015 (BGBl. I S. 166), die zuletzt durch Artikel 1 der Verordnung vom 19. Mai 2021 (BAnz AT 28.05.2021 V2) geändert worden ist, zu übermitteln:</w:t>
      </w:r>
    </w:p>
    <w:p>
      <w:pPr>
        <w:ind w:left="420"/>
      </w:pPr>
      <w:r>
        <w:t xml:space="preserve">1. Name des Betriebs oder der Firma einschließlich Rechtsform,</w:t>
      </w:r>
    </w:p>
    <w:p>
      <w:pPr>
        <w:ind w:left="420"/>
      </w:pPr>
      <w:r>
        <w:t xml:space="preserve">2. Anschrift,</w:t>
      </w:r>
    </w:p>
    <w:p>
      <w:pPr>
        <w:ind w:left="420"/>
      </w:pPr>
      <w:r>
        <w:t xml:space="preserve">3. Betriebsnummer,</w:t>
      </w:r>
    </w:p>
    <w:p>
      <w:pPr>
        <w:ind w:left="420"/>
      </w:pPr>
      <w:r>
        <w:t xml:space="preserve">4. Telefonnummer, Faxnummer, E-Mail-Adresse, sofern der Betriebsinhaber diese in seinem Antrag freiwillig angegeben hat,</w:t>
      </w:r>
    </w:p>
    <w:p>
      <w:pPr>
        <w:ind w:left="420"/>
      </w:pPr>
      <w:r>
        <w:t xml:space="preserve">5. landwirtschaftliche Flächen des Betriebs nach Lage, Größe und Nutzung sowie die im Sammelantrag für das aktuelle Antragsjahr angegebene Hauptkultur,</w:t>
      </w:r>
    </w:p>
    <w:p>
      <w:pPr>
        <w:ind w:left="420"/>
      </w:pPr>
      <w:r>
        <w:t xml:space="preserve">6. Arten und im Sammelantrag angegebene voraussichtliche durchschnittliche Anzahl der gehaltenen landwirtschaftlichen Nutztiere.</w:t>
      </w:r>
    </w:p>
    <w:p>
      <w:r>
        <w:rPr>
          <w:color w:val="555555"/>
          <w:sz w:val="17"/>
        </w:rPr>
        <w:t xml:space="preserve">Zitiervorschlag: § 9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