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ESVGDüV — Übermittlung von nach der Marktordnungswaren-Meldeverordnung erhobenen und gespeicherten Daten</w:t>
      </w:r>
    </w:p>
    <w:p>
      <w:r>
        <w:rPr>
          <w:color w:val="555555"/>
          <w:sz w:val="18"/>
        </w:rPr>
        <w:t xml:space="preserve">ESVG-Datenübermittlungsverordnung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Die Bundesanstalt hat folgende der erhobenen und gespeicherten Daten nach § 6 der Marktordnungswaren-Meldeverordnung vom 24. November 1999 (BGBl. I S. 2286), die zuletzt durch Artikel 3 der Verordnung vom 11. Januar 2021 (BGBl. I S. 47) geändert worden ist, sowie folgende in Nummer 4 genannte Daten der meldepflichtigen Unternehmen nach den §§ 2 bis 5 der Marktordnungswaren-Meldeverordnung zu übermitteln:</w:t>
      </w:r>
    </w:p>
    <w:p>
      <w:pPr>
        <w:ind w:left="420"/>
      </w:pPr>
      <w:r>
        <w:t xml:space="preserve">1. Name, Rufnummern und E-Mail-Adressen des Betriebs oder des Meldepflichtigen sowie Name, Rufnummer und E-Mail-Adresse eines Ansprechpartners,</w:t>
      </w:r>
    </w:p>
    <w:p>
      <w:pPr>
        <w:ind w:left="420"/>
      </w:pPr>
      <w:r>
        <w:t xml:space="preserve">2. die Anschrift des Betriebs,</w:t>
      </w:r>
    </w:p>
    <w:p>
      <w:pPr>
        <w:ind w:left="420"/>
      </w:pPr>
      <w:r>
        <w:t xml:space="preserve">3. die Handelsregisternummer des Unternehmens,</w:t>
      </w:r>
    </w:p>
    <w:p>
      <w:pPr>
        <w:ind w:left="420"/>
      </w:pPr>
      <w:r>
        <w:t xml:space="preserve">4. erhobene und gespeicherte Daten der Getreide-, Stärke- und Futtermittelwirtschaft, der Zuckerwirtschaft, der Fettwirtschaft und der Milchwirtschaft.</w:t>
      </w:r>
    </w:p>
    <w:p>
      <w:r>
        <w:rPr>
          <w:color w:val="555555"/>
          <w:sz w:val="17"/>
        </w:rPr>
        <w:t xml:space="preserve">Zitiervorschlag: § 8 ESVGDüV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https://recht.nulegal.eu/gesetze/ESVGD%C3%BCV/8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