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ESVGDüV — Übermittlung von nach der Viehverkehrsverordnung erhobenen und gespeicherten Daten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in § 3 Absatz 2 Nummer 2 genannten Behörden haben folgende Daten von Tierhaltungen oder Betrieben, die Rinder, Schweine, Schafe, Ziegen, Einhufer, Hühner, Enten, Gänse, Fasane, Perlhühner, Rebhühner, Tauben, Truthühner, Wachteln oder Laufvögel halten, nach § 26 Absatz 1 der Viehverkehrsverordnung in Verbindung mit Artikel 84 Absatz 1 Buchstabe b und Absatz 2 der Verordnung (EU) 2016/429 des Europäischen Parlaments und des Rates vom 9. März 2016 zu Tierseuchen und zur Änderung und Aufhebung einiger Rechtsakte im Bereich der Tiergesundheit (ABl. L 84 vom 31.3.2016, S. 1; L 57 vom 3.3.2017, S. 65; L 84 vom 20.3.2020, S. 24; L 48 vom 11.2.2021, S. 3; L 224 vom 24.6.2021, S. 42), die zuletzt durch die Delegierte Verordnung (EU) 2018/1629 (ABl. L 272 vom 31.10.2018, S. 11) geändert worden ist, zu übermitteln:</w:t>
      </w:r>
    </w:p>
    <w:p>
      <w:pPr>
        <w:ind w:left="420"/>
      </w:pPr>
      <w:r>
        <w:t xml:space="preserve">1. Name und Anschrift der Tierhaltung oder des Betriebs,</w:t>
      </w:r>
    </w:p>
    <w:p>
      <w:pPr>
        <w:ind w:left="420"/>
      </w:pPr>
      <w:r>
        <w:t xml:space="preserve">2. Anzahl der im Jahresdurchschnitt voraussichtlich gehaltenen Tiere, ihre Nutzungsart und ihren Standort, bezogen auf die jeweilige Tierart.</w:t>
      </w:r>
    </w:p>
    <w:p>
      <w:r>
        <w:rPr>
          <w:color w:val="555555"/>
          <w:sz w:val="17"/>
        </w:rPr>
        <w:t xml:space="preserve">Zitiervorschlag: § 7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