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ESVGDüV — Übermittlung von nach der Verordnung (EG) Nr. 852/2004 des Europäischen Parlaments und des Rates vom 29. April 2004 über Lebensmittelhygiene erhobenen und gespeicherten Daten</w:t>
      </w:r>
    </w:p>
    <w:p>
      <w:r>
        <w:rPr>
          <w:color w:val="555555"/>
          <w:sz w:val="18"/>
        </w:rPr>
        <w:t xml:space="preserve">ESVG-Datenübermittlungsverordnung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Die in § 3 Absatz 2 Nummer 1 genannten Behörden haben folgende Daten der registrierten Lebensmittelbetriebe nach Artikel 6 Absatz 2 der Verordnung (EG) Nr. 852/2004 des Europäischen Parlaments und des Rates vom 29. April 2004 über Lebensmittelhygiene (ABl. L 139 vom 30.4.2004, S. 1; L 226 vom 25.6.2004, S. 3; L 46 vom 21.2.2008, S. 51; L 58 vom 3.3.2009, S. 3), die zuletzt durch die Verordnung (EU) 2021/382 (ABl. L 74 vom 4.3.2021, S. 3) geändert worden ist, zu übermitteln:</w:t>
      </w:r>
    </w:p>
    <w:p>
      <w:pPr>
        <w:ind w:left="420"/>
      </w:pPr>
      <w:r>
        <w:t xml:space="preserve">1. Bezeichnung und Adresse der Betriebsstätte,</w:t>
      </w:r>
    </w:p>
    <w:p>
      <w:pPr>
        <w:ind w:left="420"/>
      </w:pPr>
      <w:r>
        <w:t xml:space="preserve">2. Kontaktdaten des Lebensmittelunternehmers,</w:t>
      </w:r>
    </w:p>
    <w:p>
      <w:pPr>
        <w:ind w:left="420"/>
      </w:pPr>
      <w:r>
        <w:t xml:space="preserve">3. Betriebsart beziehungsweise Tätigkeit,</w:t>
      </w:r>
    </w:p>
    <w:p>
      <w:pPr>
        <w:ind w:left="420"/>
      </w:pPr>
      <w:r>
        <w:t xml:space="preserve">4. Daten zum Produktsortiment.</w:t>
      </w:r>
    </w:p>
    <w:p>
      <w:r>
        <w:rPr>
          <w:color w:val="555555"/>
          <w:sz w:val="17"/>
        </w:rPr>
        <w:t xml:space="preserve">Zitiervorschlag: § 6 ESVGDüV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https://recht.nulegal.eu/gesetze/ESVGD%C3%BCV/6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