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ESVGDüV — Übermittlung von nach der Tierische Lebensmittel-Hygieneverordnung erhobenen und gespeicherten Daten</w:t>
      </w:r>
    </w:p>
    <w:p>
      <w:r>
        <w:rPr>
          <w:color w:val="555555"/>
          <w:sz w:val="18"/>
        </w:rPr>
        <w:t xml:space="preserve">ESVG-Datenübermittlungsverordnung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Die in § 3 Absatz 2 Nummer 1 genannten Behörden haben folgende Daten der zugelassenen Betriebe nach § 9 Absatz 1 Satz 1 und Satz 2 Nummer 1 der Tierische Lebensmittel-Hygieneverordnung in der Fassung der Bekanntmachung vom 18. April 2018 (BGBl. I S. 480, 619, 1844), die durch Artikel 2 der Verordnung vom 11. Januar 2021 (BGBl. I S. 47) geändert worden ist, zu übermitteln:</w:t>
      </w:r>
    </w:p>
    <w:p>
      <w:pPr>
        <w:ind w:left="420"/>
      </w:pPr>
      <w:r>
        <w:t xml:space="preserve">1. Name oder Bezeichnung des Betriebs,</w:t>
      </w:r>
    </w:p>
    <w:p>
      <w:pPr>
        <w:ind w:left="420"/>
      </w:pPr>
      <w:r>
        <w:t xml:space="preserve">2. Lebensmittelunternehmer,</w:t>
      </w:r>
    </w:p>
    <w:p>
      <w:pPr>
        <w:ind w:left="420"/>
      </w:pPr>
      <w:r>
        <w:t xml:space="preserve">3. Straße,</w:t>
      </w:r>
    </w:p>
    <w:p>
      <w:pPr>
        <w:ind w:left="420"/>
      </w:pPr>
      <w:r>
        <w:t xml:space="preserve">4. Postleitzahl, Ort,</w:t>
      </w:r>
    </w:p>
    <w:p>
      <w:pPr>
        <w:ind w:left="420"/>
      </w:pPr>
      <w:r>
        <w:t xml:space="preserve">5. Telefonnummer,</w:t>
      </w:r>
    </w:p>
    <w:p>
      <w:pPr>
        <w:ind w:left="420"/>
      </w:pPr>
      <w:r>
        <w:t xml:space="preserve">6. Faxnummer,</w:t>
      </w:r>
    </w:p>
    <w:p>
      <w:pPr>
        <w:ind w:left="420"/>
      </w:pPr>
      <w:r>
        <w:t xml:space="preserve">7. E-Mail-Adresse,</w:t>
      </w:r>
    </w:p>
    <w:p>
      <w:pPr>
        <w:ind w:left="420"/>
      </w:pPr>
      <w:r>
        <w:t xml:space="preserve">8. Betriebsbereiche und Betriebsarten,</w:t>
      </w:r>
    </w:p>
    <w:p>
      <w:pPr>
        <w:ind w:left="420"/>
      </w:pPr>
      <w:r>
        <w:t xml:space="preserve">9. Anzahl der insgesamt beschäftigten Personen,</w:t>
      </w:r>
    </w:p>
    <w:p>
      <w:pPr>
        <w:ind w:left="420"/>
      </w:pPr>
      <w:r>
        <w:t xml:space="preserve">10. Wasserversorgung aus öffentlicher Wasserversorgung, aus Eigenwasserversorgung oder aus Versorgung mit sauberem Meerwasser,</w:t>
      </w:r>
    </w:p>
    <w:p>
      <w:pPr>
        <w:ind w:left="420"/>
      </w:pPr>
      <w:r>
        <w:t xml:space="preserve">11. die nach dem jeweiligen Beiblatt erhobenen und gespeicherten Daten zur Erzeugung oder Verarbeitung von Fleisch, lebenden Muscheln, Fischereierzeugnissen, Milch, Eiprodukten, Gelatine und Kollagen, zum Behandeln in Kühllagern oder Großküchen.</w:t>
      </w:r>
    </w:p>
    <w:p>
      <w:r>
        <w:rPr>
          <w:color w:val="555555"/>
          <w:sz w:val="17"/>
        </w:rPr>
        <w:t xml:space="preserve">Zitiervorschlag: § 5 ESVGDüV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https://recht.nulegal.eu/gesetze/ESVGD%C3%BCV/5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