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ESVGDüV — Zur Datenanforderung berechtigte Behörden</w:t>
      </w:r>
    </w:p>
    <w:p>
      <w:r>
        <w:rPr>
          <w:color w:val="555555"/>
          <w:sz w:val="18"/>
        </w:rPr>
        <w:t xml:space="preserve">ESVG-Datenübermittlungsverordnung</w:t>
      </w:r>
    </w:p>
    <w:p>
      <w:r>
        <w:rPr>
          <w:color w:val="555555"/>
          <w:sz w:val="18"/>
        </w:rPr>
        <w:t xml:space="preserve">Stand: 21.03.2023 (konsolidierte Textfassung, kein amtliches Inkrafttretensdatum)</w:t>
      </w:r>
    </w:p>
    <w:p>
      <w:r>
        <w:t xml:space="preserve">(1) Zur Datenanforderung sind diejenigen Behörden berechtigt, die für die Ausführung des Ernährungssicherstellungs- und -vorsorgegesetzes zuständig sind.</w:t>
      </w:r>
    </w:p>
    <w:p>
      <w:r>
        <w:t xml:space="preserve">(2) Abweichend von Absatz 1 sind die in § 8 aufgeführten Daten von der Bundesanstalt nach Anforderung durch die für die Ernährungsvorsorge zuständigen obersten Landesbehörden an diese zu übermitteln.</w:t>
      </w:r>
    </w:p>
    <w:p>
      <w:r>
        <w:t xml:space="preserve">(3) Die Bundesanstalt ist zur Erfüllung ihrer Aufgaben nach § 3 Absatz 3 Satz 2 des Ernährungssicherstellungs- und -vorsorgegesetzes zur Erhebung, Speicherung und Verwendung der in § 8 aufgeführten Daten sowie der Einzelangaben befugt.</w:t>
      </w:r>
    </w:p>
    <w:p>
      <w:r>
        <w:rPr>
          <w:color w:val="555555"/>
          <w:sz w:val="17"/>
        </w:rPr>
        <w:t xml:space="preserve">Zitiervorschlag: § 4 ESVGDüV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https://recht.nulegal.eu/gesetze/ESVGD%C3%BCV/4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