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ESVGDüV — Zur Datenübermittlung verpflichtete Behörden</w:t>
      </w:r>
    </w:p>
    <w:p>
      <w:r>
        <w:rPr>
          <w:color w:val="555555"/>
          <w:sz w:val="18"/>
        </w:rPr>
        <w:t xml:space="preserve">ESVG-Datenübermittlungsverordnung</w:t>
      </w:r>
    </w:p>
    <w:p>
      <w:r>
        <w:rPr>
          <w:color w:val="555555"/>
          <w:sz w:val="18"/>
        </w:rPr>
        <w:t xml:space="preserve">Stand: 21.03.2023 (konsolidierte Textfassung, kein amtliches Inkrafttretensdatum)</w:t>
      </w:r>
    </w:p>
    <w:p>
      <w:r>
        <w:t xml:space="preserve">(1) Zur Übermittlung der in den §§ 5 bis 9 dieser Verordnung genannten Daten sind die nach Absatz 2 jeweils datenerhebenden und datenspeichernden Behörden oder eine vom Land benannte Stelle verpflichtet.</w:t>
      </w:r>
    </w:p>
    <w:p>
      <w:r>
        <w:t xml:space="preserve">(2) Die datenerhebenden und -speichernden Behörden sind</w:t>
      </w:r>
    </w:p>
    <w:p>
      <w:pPr>
        <w:ind w:left="420"/>
      </w:pPr>
      <w:r>
        <w:t xml:space="preserve">1. im Fall der in den §§ 5 und 6 genannten Daten die Behörden, die nach dem jeweiligen Landesrecht für die Ausführung des Lebensmittel- und Futtermittelgesetzbuches zuständig sind,</w:t>
      </w:r>
    </w:p>
    <w:p>
      <w:pPr>
        <w:ind w:left="420"/>
      </w:pPr>
      <w:r>
        <w:t xml:space="preserve">2. im Fall der in § 7 genannten Daten die Behörden, die für die Anzeige und Registrierung nach § 26 der Viehverkehrsverordnung in der Fassung der Bekanntmachung vom 26. Mai 2020 (BGBl. I S. 1170) zuständig sind, oder eine von der zuständigen Behörde beauftragte Stelle,</w:t>
      </w:r>
    </w:p>
    <w:p>
      <w:pPr>
        <w:ind w:left="420"/>
      </w:pPr>
      <w:r>
        <w:t xml:space="preserve">3. im Fall der in § 8 genannten Daten die Bundesanstalt für Landwirtschaft und Ernährung (Bundesanstalt),</w:t>
      </w:r>
    </w:p>
    <w:p>
      <w:pPr>
        <w:ind w:left="420"/>
      </w:pPr>
      <w:r>
        <w:t xml:space="preserve">4. im Fall der in § 9 genannten Daten die Zahlstellen nach § 2 Nummer 3 des InVeKoS-Daten-Gesetzes vom 2. Dezember 2014 (BGBl. I S. 1928, 1931), das zuletzt durch Artikel 108 des Gesetzes vom 20. November 2019 (BGBl. I S. 1626) geändert worden ist.</w:t>
      </w:r>
    </w:p>
    <w:p>
      <w:r>
        <w:t xml:space="preserve">(3) Die Behörden, die zur Datenübermittlung verpflichtet sind, dürfen ausschließlich jene Daten übermitteln, die sich auf den örtlichen Zuständigkeitsbereich der zur Datenanforderung berechtigten Behörden beziehen.</w:t>
      </w:r>
    </w:p>
    <w:p>
      <w:r>
        <w:rPr>
          <w:color w:val="555555"/>
          <w:sz w:val="17"/>
        </w:rPr>
        <w:t xml:space="preserve">Zitiervorschlag: § 3 ESVGDüV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https://recht.nulegal.eu/gesetze/ESVGD%C3%BCV/3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