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ESVGDüV — Begriffsbestimmungen</w:t>
      </w:r>
    </w:p>
    <w:p>
      <w:r>
        <w:rPr>
          <w:color w:val="555555"/>
          <w:sz w:val="18"/>
        </w:rPr>
        <w:t xml:space="preserve">ESVG-Datenübermittlungsverordnung</w:t>
      </w:r>
    </w:p>
    <w:p>
      <w:r>
        <w:rPr>
          <w:color w:val="555555"/>
          <w:sz w:val="18"/>
        </w:rPr>
        <w:t xml:space="preserve">Stand: 21.03.2023 (konsolidierte Textfassung, kein amtliches Inkrafttretensdatum)</w:t>
      </w:r>
    </w:p>
    <w:p>
      <w:r>
        <w:t xml:space="preserve">Im Sinne dieser Verordnung ist Lebensmittelunternehmer ein Lebensmittelunternehmer im Sinne des Artikels 3 Nummer 3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031 vom 1.2.2002, S. 1), die zuletzt durch die Verordnung (EU) 2019/1381 (ABl. L 231 vom 6.9.2019, S. 1) geändert worden ist.</w:t>
      </w:r>
    </w:p>
    <w:p>
      <w:r>
        <w:rPr>
          <w:color w:val="555555"/>
          <w:sz w:val="17"/>
        </w:rPr>
        <w:t xml:space="preserve">Zitiervorschlag: § 2 ESVGDüV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https://recht.nulegal.eu/gesetze/ESVGD%C3%BCV/2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