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ESVGDüV — Zweck und Anwendungsbereich</w:t>
      </w:r>
    </w:p>
    <w:p>
      <w:r>
        <w:rPr>
          <w:color w:val="555555"/>
          <w:sz w:val="18"/>
        </w:rPr>
        <w:t xml:space="preserve">ESVG-Datenübermittlungsverordnung</w:t>
      </w:r>
    </w:p>
    <w:p>
      <w:r>
        <w:rPr>
          <w:color w:val="555555"/>
          <w:sz w:val="18"/>
        </w:rPr>
        <w:t xml:space="preserve">Stand: 21.03.2023 (konsolidierte Textfassung, kein amtliches Inkrafttretensdatum)</w:t>
      </w:r>
    </w:p>
    <w:p>
      <w:r>
        <w:t xml:space="preserve">(1) Diese Verordnung dient der näheren Bestimmung der Daten, deren Übermittlung nach § 13 Absatz 1 Satz 1 des Ernährungssicherstellungs- und -vorsorgegesetzes gefordert werden kann, sowie der Regelung der Art und Form der Datenübermittlung.</w:t>
      </w:r>
    </w:p>
    <w:p>
      <w:r>
        <w:t xml:space="preserve">(2) Die Übermittlung der Daten nach den §§ 5 bis 9 dieser Verordnung erfolgt nur auf Anforderung der jeweils zur Datenanforderung berechtigten Behörden. Es werden nur bereits erhobene und gespeicherte Daten übermittelt.</w:t>
      </w:r>
    </w:p>
    <w:p>
      <w:r>
        <w:rPr>
          <w:color w:val="555555"/>
          <w:sz w:val="17"/>
        </w:rPr>
        <w:t xml:space="preserve">Zitiervorschlag: § 1 ESVGDüV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https://recht.nulegal.eu/gesetze/ESVGD%C3%BCV/1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