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ESVG — Einzelweisungen</w:t>
      </w:r>
    </w:p>
    <w:p>
      <w:r>
        <w:rPr>
          <w:color w:val="555555"/>
          <w:sz w:val="18"/>
        </w:rPr>
        <w:t xml:space="preserve">Ernährungssicherstellungs- und -vorsorgegesetz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dieses Gesetz nach § 3 Absatz 1 Satz 1 von den Ländern als eigene Angelegenheit ausgeführt wird, kann die Bundesregierung zur Ausführung von Rechtsverordnungen nach § 4 Absatz 1 in Ausnahmefällen Einzelweisungen erteilen, wenn dies zur Sicherung der Grundversorgung dringend geboten ist.</w:t>
      </w:r>
    </w:p>
    <w:p>
      <w:r>
        <w:rPr>
          <w:color w:val="555555"/>
          <w:sz w:val="17"/>
        </w:rPr>
        <w:t xml:space="preserve">Zitiervorschlag: § 5 ESVG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